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theme/themeOverride22.xml" ContentType="application/vnd.openxmlformats-officedocument.themeOverride+xml"/>
  <Override PartName="/word/charts/chart28.xml" ContentType="application/vnd.openxmlformats-officedocument.drawingml.chart+xml"/>
  <Override PartName="/word/charts/chart29.xml" ContentType="application/vnd.openxmlformats-officedocument.drawingml.chart+xml"/>
  <Override PartName="/word/theme/themeOverride23.xml" ContentType="application/vnd.openxmlformats-officedocument.themeOverride+xml"/>
  <Override PartName="/word/charts/chart30.xml" ContentType="application/vnd.openxmlformats-officedocument.drawingml.chart+xml"/>
  <Override PartName="/word/theme/themeOverride24.xml" ContentType="application/vnd.openxmlformats-officedocument.themeOverride+xml"/>
  <Override PartName="/word/charts/chart31.xml" ContentType="application/vnd.openxmlformats-officedocument.drawingml.chart+xml"/>
  <Override PartName="/word/theme/themeOverride25.xml" ContentType="application/vnd.openxmlformats-officedocument.themeOverride+xml"/>
  <Override PartName="/word/charts/chart32.xml" ContentType="application/vnd.openxmlformats-officedocument.drawingml.chart+xml"/>
  <Override PartName="/word/theme/themeOverride26.xml" ContentType="application/vnd.openxmlformats-officedocument.themeOverride+xml"/>
  <Override PartName="/word/charts/chart33.xml" ContentType="application/vnd.openxmlformats-officedocument.drawingml.chart+xml"/>
  <Override PartName="/word/theme/themeOverride27.xml" ContentType="application/vnd.openxmlformats-officedocument.themeOverride+xml"/>
  <Override PartName="/word/charts/chart34.xml" ContentType="application/vnd.openxmlformats-officedocument.drawingml.chart+xml"/>
  <Override PartName="/word/theme/themeOverride28.xml" ContentType="application/vnd.openxmlformats-officedocument.themeOverride+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theme/themeOverride29.xml" ContentType="application/vnd.openxmlformats-officedocument.themeOverride+xml"/>
  <Override PartName="/word/charts/chart41.xml" ContentType="application/vnd.openxmlformats-officedocument.drawingml.chart+xml"/>
  <Override PartName="/word/theme/themeOverride30.xml" ContentType="application/vnd.openxmlformats-officedocument.themeOverride+xml"/>
  <Override PartName="/word/charts/chart42.xml" ContentType="application/vnd.openxmlformats-officedocument.drawingml.chart+xml"/>
  <Override PartName="/word/charts/chart43.xml" ContentType="application/vnd.openxmlformats-officedocument.drawingml.chart+xml"/>
  <Override PartName="/word/theme/themeOverride31.xml" ContentType="application/vnd.openxmlformats-officedocument.themeOverride+xml"/>
  <Override PartName="/word/charts/chart44.xml" ContentType="application/vnd.openxmlformats-officedocument.drawingml.chart+xml"/>
  <Override PartName="/word/charts/chart45.xml" ContentType="application/vnd.openxmlformats-officedocument.drawingml.chart+xml"/>
  <Override PartName="/word/theme/themeOverride32.xml" ContentType="application/vnd.openxmlformats-officedocument.themeOverride+xml"/>
  <Override PartName="/word/charts/chart46.xml" ContentType="application/vnd.openxmlformats-officedocument.drawingml.chart+xml"/>
  <Override PartName="/word/theme/themeOverride33.xml" ContentType="application/vnd.openxmlformats-officedocument.themeOverride+xml"/>
  <Override PartName="/word/charts/chart47.xml" ContentType="application/vnd.openxmlformats-officedocument.drawingml.chart+xml"/>
  <Override PartName="/word/theme/themeOverride34.xml" ContentType="application/vnd.openxmlformats-officedocument.themeOverride+xml"/>
  <Override PartName="/word/charts/chart48.xml" ContentType="application/vnd.openxmlformats-officedocument.drawingml.chart+xml"/>
  <Override PartName="/word/theme/themeOverride35.xml" ContentType="application/vnd.openxmlformats-officedocument.themeOverride+xml"/>
  <Override PartName="/word/charts/chart49.xml" ContentType="application/vnd.openxmlformats-officedocument.drawingml.chart+xml"/>
  <Override PartName="/word/theme/themeOverride36.xml" ContentType="application/vnd.openxmlformats-officedocument.themeOverride+xml"/>
  <Override PartName="/word/charts/chart50.xml" ContentType="application/vnd.openxmlformats-officedocument.drawingml.chart+xml"/>
  <Override PartName="/word/theme/themeOverride37.xml" ContentType="application/vnd.openxmlformats-officedocument.themeOverride+xml"/>
  <Override PartName="/word/charts/chart51.xml" ContentType="application/vnd.openxmlformats-officedocument.drawingml.chart+xml"/>
  <Override PartName="/word/theme/themeOverride38.xml" ContentType="application/vnd.openxmlformats-officedocument.themeOverride+xml"/>
  <Override PartName="/word/charts/chart52.xml" ContentType="application/vnd.openxmlformats-officedocument.drawingml.chart+xml"/>
  <Override PartName="/word/theme/themeOverride39.xml" ContentType="application/vnd.openxmlformats-officedocument.themeOverride+xml"/>
  <Override PartName="/word/charts/chart53.xml" ContentType="application/vnd.openxmlformats-officedocument.drawingml.chart+xml"/>
  <Override PartName="/word/theme/themeOverride40.xml" ContentType="application/vnd.openxmlformats-officedocument.themeOverride+xml"/>
  <Override PartName="/word/charts/chart54.xml" ContentType="application/vnd.openxmlformats-officedocument.drawingml.chart+xml"/>
  <Override PartName="/word/theme/themeOverride41.xml" ContentType="application/vnd.openxmlformats-officedocument.themeOverride+xml"/>
  <Override PartName="/word/charts/chart55.xml" ContentType="application/vnd.openxmlformats-officedocument.drawingml.chart+xml"/>
  <Override PartName="/word/theme/themeOverride42.xml" ContentType="application/vnd.openxmlformats-officedocument.themeOverride+xml"/>
  <Override PartName="/word/charts/chart56.xml" ContentType="application/vnd.openxmlformats-officedocument.drawingml.chart+xml"/>
  <Override PartName="/word/theme/themeOverride43.xml" ContentType="application/vnd.openxmlformats-officedocument.themeOverride+xml"/>
  <Override PartName="/word/charts/chart57.xml" ContentType="application/vnd.openxmlformats-officedocument.drawingml.chart+xml"/>
  <Override PartName="/word/theme/themeOverride44.xml" ContentType="application/vnd.openxmlformats-officedocument.themeOverride+xml"/>
  <Override PartName="/word/charts/chart58.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59.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charts/chart63.xml" ContentType="application/vnd.openxmlformats-officedocument.drawingml.chart+xml"/>
  <Override PartName="/word/charts/chart64.xml" ContentType="application/vnd.openxmlformats-officedocument.drawingml.chart+xml"/>
  <Override PartName="/word/charts/chart65.xml" ContentType="application/vnd.openxmlformats-officedocument.drawingml.chart+xml"/>
  <Override PartName="/word/charts/chart66.xml" ContentType="application/vnd.openxmlformats-officedocument.drawingml.chart+xml"/>
  <Override PartName="/word/charts/chart67.xml" ContentType="application/vnd.openxmlformats-officedocument.drawingml.chart+xml"/>
  <Override PartName="/word/charts/chart68.xml" ContentType="application/vnd.openxmlformats-officedocument.drawingml.chart+xml"/>
  <Override PartName="/word/charts/chart69.xml" ContentType="application/vnd.openxmlformats-officedocument.drawingml.chart+xml"/>
  <Override PartName="/word/charts/chart70.xml" ContentType="application/vnd.openxmlformats-officedocument.drawingml.chart+xml"/>
  <Override PartName="/word/charts/chart71.xml" ContentType="application/vnd.openxmlformats-officedocument.drawingml.chart+xml"/>
  <Override PartName="/word/charts/chart72.xml" ContentType="application/vnd.openxmlformats-officedocument.drawingml.chart+xml"/>
  <Override PartName="/word/charts/chart73.xml" ContentType="application/vnd.openxmlformats-officedocument.drawingml.chart+xml"/>
  <Override PartName="/word/charts/chart74.xml" ContentType="application/vnd.openxmlformats-officedocument.drawingml.chart+xml"/>
  <Override PartName="/word/charts/chart75.xml" ContentType="application/vnd.openxmlformats-officedocument.drawingml.chart+xml"/>
  <Override PartName="/word/charts/chart76.xml" ContentType="application/vnd.openxmlformats-officedocument.drawingml.chart+xml"/>
  <Override PartName="/word/charts/chart77.xml" ContentType="application/vnd.openxmlformats-officedocument.drawingml.chart+xml"/>
  <Override PartName="/word/charts/chart78.xml" ContentType="application/vnd.openxmlformats-officedocument.drawingml.chart+xml"/>
  <Override PartName="/word/charts/chart79.xml" ContentType="application/vnd.openxmlformats-officedocument.drawingml.chart+xml"/>
  <Override PartName="/word/charts/chart80.xml" ContentType="application/vnd.openxmlformats-officedocument.drawingml.chart+xml"/>
  <Override PartName="/word/charts/chart81.xml" ContentType="application/vnd.openxmlformats-officedocument.drawingml.chart+xml"/>
  <Override PartName="/word/charts/chart82.xml" ContentType="application/vnd.openxmlformats-officedocument.drawingml.chart+xml"/>
  <Override PartName="/word/charts/chart83.xml" ContentType="application/vnd.openxmlformats-officedocument.drawingml.chart+xml"/>
  <Override PartName="/word/charts/chart84.xml" ContentType="application/vnd.openxmlformats-officedocument.drawingml.chart+xml"/>
  <Override PartName="/word/charts/chart85.xml" ContentType="application/vnd.openxmlformats-officedocument.drawingml.chart+xml"/>
  <Override PartName="/word/charts/chart86.xml" ContentType="application/vnd.openxmlformats-officedocument.drawingml.chart+xml"/>
  <Override PartName="/word/charts/chart87.xml" ContentType="application/vnd.openxmlformats-officedocument.drawingml.chart+xml"/>
  <Override PartName="/word/charts/chart88.xml" ContentType="application/vnd.openxmlformats-officedocument.drawingml.chart+xml"/>
  <Override PartName="/word/charts/chart89.xml" ContentType="application/vnd.openxmlformats-officedocument.drawingml.chart+xml"/>
  <Override PartName="/word/charts/chart90.xml" ContentType="application/vnd.openxmlformats-officedocument.drawingml.chart+xml"/>
  <Override PartName="/word/charts/chart91.xml" ContentType="application/vnd.openxmlformats-officedocument.drawingml.chart+xml"/>
  <Override PartName="/word/charts/chart92.xml" ContentType="application/vnd.openxmlformats-officedocument.drawingml.chart+xml"/>
  <Override PartName="/word/charts/chart93.xml" ContentType="application/vnd.openxmlformats-officedocument.drawingml.chart+xml"/>
  <Override PartName="/word/charts/chart94.xml" ContentType="application/vnd.openxmlformats-officedocument.drawingml.chart+xml"/>
  <Override PartName="/word/charts/chart95.xml" ContentType="application/vnd.openxmlformats-officedocument.drawingml.chart+xml"/>
  <Override PartName="/word/charts/chart96.xml" ContentType="application/vnd.openxmlformats-officedocument.drawingml.chart+xml"/>
  <Override PartName="/word/charts/chart97.xml" ContentType="application/vnd.openxmlformats-officedocument.drawingml.chart+xml"/>
  <Override PartName="/word/theme/themeOverride45.xml" ContentType="application/vnd.openxmlformats-officedocument.themeOverride+xml"/>
  <Override PartName="/word/charts/chart98.xml" ContentType="application/vnd.openxmlformats-officedocument.drawingml.chart+xml"/>
  <Override PartName="/word/theme/themeOverride46.xml" ContentType="application/vnd.openxmlformats-officedocument.themeOverride+xml"/>
  <Override PartName="/word/charts/chart99.xml" ContentType="application/vnd.openxmlformats-officedocument.drawingml.chart+xml"/>
  <Override PartName="/word/theme/themeOverride47.xml" ContentType="application/vnd.openxmlformats-officedocument.themeOverride+xml"/>
  <Override PartName="/word/charts/chart100.xml" ContentType="application/vnd.openxmlformats-officedocument.drawingml.chart+xml"/>
  <Override PartName="/word/theme/themeOverride48.xml" ContentType="application/vnd.openxmlformats-officedocument.themeOverride+xml"/>
  <Override PartName="/word/charts/chart101.xml" ContentType="application/vnd.openxmlformats-officedocument.drawingml.chart+xml"/>
  <Override PartName="/word/theme/themeOverride49.xml" ContentType="application/vnd.openxmlformats-officedocument.themeOverride+xml"/>
  <Override PartName="/word/charts/chart102.xml" ContentType="application/vnd.openxmlformats-officedocument.drawingml.chart+xml"/>
  <Override PartName="/word/theme/themeOverride50.xml" ContentType="application/vnd.openxmlformats-officedocument.themeOverride+xml"/>
  <Override PartName="/word/charts/chart103.xml" ContentType="application/vnd.openxmlformats-officedocument.drawingml.chart+xml"/>
  <Override PartName="/word/theme/themeOverride51.xml" ContentType="application/vnd.openxmlformats-officedocument.themeOverride+xml"/>
  <Override PartName="/word/charts/chart104.xml" ContentType="application/vnd.openxmlformats-officedocument.drawingml.chart+xml"/>
  <Override PartName="/word/theme/themeOverride52.xml" ContentType="application/vnd.openxmlformats-officedocument.themeOverride+xml"/>
  <Override PartName="/word/charts/chart105.xml" ContentType="application/vnd.openxmlformats-officedocument.drawingml.chart+xml"/>
  <Override PartName="/word/theme/themeOverride53.xml" ContentType="application/vnd.openxmlformats-officedocument.themeOverride+xml"/>
  <Override PartName="/word/charts/chart106.xml" ContentType="application/vnd.openxmlformats-officedocument.drawingml.chart+xml"/>
  <Override PartName="/word/theme/themeOverride54.xml" ContentType="application/vnd.openxmlformats-officedocument.themeOverride+xml"/>
  <Override PartName="/word/charts/chart107.xml" ContentType="application/vnd.openxmlformats-officedocument.drawingml.chart+xml"/>
  <Override PartName="/word/theme/themeOverride55.xml" ContentType="application/vnd.openxmlformats-officedocument.themeOverride+xml"/>
  <Override PartName="/word/charts/chart108.xml" ContentType="application/vnd.openxmlformats-officedocument.drawingml.chart+xml"/>
  <Override PartName="/word/charts/chart109.xml" ContentType="application/vnd.openxmlformats-officedocument.drawingml.chart+xml"/>
  <Override PartName="/word/charts/chart110.xml" ContentType="application/vnd.openxmlformats-officedocument.drawingml.chart+xml"/>
  <Override PartName="/word/charts/chart111.xml" ContentType="application/vnd.openxmlformats-officedocument.drawingml.chart+xml"/>
  <Override PartName="/word/charts/chart112.xml" ContentType="application/vnd.openxmlformats-officedocument.drawingml.chart+xml"/>
  <Override PartName="/word/charts/chart113.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363BD" w:rsidRDefault="008D3BFE" w:rsidP="008D3BFE">
      <w:pPr>
        <w:spacing w:after="0" w:line="240" w:lineRule="auto"/>
        <w:ind w:firstLine="623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Додаток </w:t>
      </w:r>
    </w:p>
    <w:p w:rsidR="008D3BFE" w:rsidRDefault="008D3BFE" w:rsidP="008D5379">
      <w:pPr>
        <w:spacing w:after="0" w:line="240" w:lineRule="auto"/>
        <w:ind w:left="6237"/>
        <w:jc w:val="both"/>
        <w:rPr>
          <w:rFonts w:ascii="Times New Roman" w:hAnsi="Times New Roman" w:cs="Times New Roman"/>
          <w:sz w:val="28"/>
          <w:szCs w:val="28"/>
          <w:lang w:val="uk-UA"/>
        </w:rPr>
      </w:pPr>
      <w:r>
        <w:rPr>
          <w:rFonts w:ascii="Times New Roman" w:hAnsi="Times New Roman" w:cs="Times New Roman"/>
          <w:sz w:val="28"/>
          <w:szCs w:val="28"/>
          <w:lang w:val="uk-UA"/>
        </w:rPr>
        <w:t>до рішення міської ради</w:t>
      </w:r>
    </w:p>
    <w:p w:rsidR="008D3BFE" w:rsidRDefault="008D3BFE" w:rsidP="008D3BFE">
      <w:pPr>
        <w:spacing w:after="0" w:line="240" w:lineRule="auto"/>
        <w:ind w:firstLine="6237"/>
        <w:jc w:val="both"/>
        <w:rPr>
          <w:rFonts w:ascii="Times New Roman" w:hAnsi="Times New Roman" w:cs="Times New Roman"/>
          <w:sz w:val="28"/>
          <w:szCs w:val="28"/>
          <w:lang w:val="uk-UA"/>
        </w:rPr>
      </w:pPr>
      <w:r>
        <w:rPr>
          <w:rFonts w:ascii="Times New Roman" w:hAnsi="Times New Roman" w:cs="Times New Roman"/>
          <w:sz w:val="28"/>
          <w:szCs w:val="28"/>
          <w:lang w:val="uk-UA"/>
        </w:rPr>
        <w:t>від __________№______</w:t>
      </w:r>
    </w:p>
    <w:p w:rsidR="008D3BFE" w:rsidRDefault="008D3BFE" w:rsidP="008D3BFE">
      <w:pPr>
        <w:spacing w:after="0" w:line="240" w:lineRule="auto"/>
        <w:ind w:firstLine="6237"/>
        <w:jc w:val="both"/>
        <w:rPr>
          <w:rFonts w:ascii="Times New Roman" w:hAnsi="Times New Roman" w:cs="Times New Roman"/>
          <w:sz w:val="28"/>
          <w:szCs w:val="28"/>
          <w:lang w:val="uk-UA"/>
        </w:rPr>
      </w:pPr>
    </w:p>
    <w:p w:rsidR="008D3BFE" w:rsidRDefault="008D3BFE" w:rsidP="008D3BFE">
      <w:pPr>
        <w:spacing w:after="0" w:line="240" w:lineRule="auto"/>
        <w:ind w:firstLine="6237"/>
        <w:jc w:val="both"/>
        <w:rPr>
          <w:rFonts w:ascii="Times New Roman" w:hAnsi="Times New Roman" w:cs="Times New Roman"/>
          <w:sz w:val="28"/>
          <w:szCs w:val="28"/>
          <w:lang w:val="uk-UA"/>
        </w:rPr>
      </w:pPr>
    </w:p>
    <w:p w:rsidR="008D3BFE" w:rsidRDefault="008D3BFE" w:rsidP="008D3BFE">
      <w:pPr>
        <w:spacing w:after="0" w:line="240" w:lineRule="auto"/>
        <w:ind w:firstLine="6237"/>
        <w:jc w:val="both"/>
        <w:rPr>
          <w:rFonts w:ascii="Times New Roman" w:hAnsi="Times New Roman" w:cs="Times New Roman"/>
          <w:sz w:val="28"/>
          <w:szCs w:val="28"/>
          <w:lang w:val="uk-UA"/>
        </w:rPr>
      </w:pPr>
    </w:p>
    <w:p w:rsidR="008D3BFE" w:rsidRDefault="008D3BFE" w:rsidP="008D3BFE">
      <w:pPr>
        <w:spacing w:after="0" w:line="240" w:lineRule="auto"/>
        <w:ind w:firstLine="6237"/>
        <w:jc w:val="both"/>
        <w:rPr>
          <w:rFonts w:ascii="Times New Roman" w:hAnsi="Times New Roman" w:cs="Times New Roman"/>
          <w:sz w:val="28"/>
          <w:szCs w:val="28"/>
          <w:lang w:val="uk-UA"/>
        </w:rPr>
      </w:pPr>
    </w:p>
    <w:p w:rsidR="008D3BFE" w:rsidRDefault="008D3BFE" w:rsidP="008D3BFE">
      <w:pPr>
        <w:spacing w:after="0" w:line="240" w:lineRule="auto"/>
        <w:ind w:firstLine="6237"/>
        <w:jc w:val="both"/>
        <w:rPr>
          <w:rFonts w:ascii="Times New Roman" w:hAnsi="Times New Roman" w:cs="Times New Roman"/>
          <w:sz w:val="28"/>
          <w:szCs w:val="28"/>
          <w:lang w:val="uk-UA"/>
        </w:rPr>
      </w:pPr>
    </w:p>
    <w:p w:rsidR="008D3BFE" w:rsidRDefault="008D3BFE" w:rsidP="008D3BFE">
      <w:pPr>
        <w:spacing w:after="0" w:line="240" w:lineRule="auto"/>
        <w:ind w:firstLine="6237"/>
        <w:jc w:val="both"/>
        <w:rPr>
          <w:rFonts w:ascii="Times New Roman" w:hAnsi="Times New Roman" w:cs="Times New Roman"/>
          <w:sz w:val="28"/>
          <w:szCs w:val="28"/>
          <w:lang w:val="uk-UA"/>
        </w:rPr>
      </w:pPr>
    </w:p>
    <w:p w:rsidR="008D3BFE" w:rsidRDefault="008D3BFE" w:rsidP="008D3BFE">
      <w:pPr>
        <w:spacing w:after="0" w:line="240" w:lineRule="auto"/>
        <w:ind w:firstLine="6237"/>
        <w:jc w:val="both"/>
        <w:rPr>
          <w:rFonts w:ascii="Times New Roman" w:hAnsi="Times New Roman" w:cs="Times New Roman"/>
          <w:sz w:val="28"/>
          <w:szCs w:val="28"/>
          <w:lang w:val="uk-UA"/>
        </w:rPr>
      </w:pPr>
    </w:p>
    <w:p w:rsidR="008D3BFE" w:rsidRDefault="008D3BFE" w:rsidP="008D3BFE">
      <w:pPr>
        <w:spacing w:after="0" w:line="240" w:lineRule="auto"/>
        <w:ind w:firstLine="6237"/>
        <w:jc w:val="both"/>
        <w:rPr>
          <w:rFonts w:ascii="Times New Roman" w:hAnsi="Times New Roman" w:cs="Times New Roman"/>
          <w:sz w:val="28"/>
          <w:szCs w:val="28"/>
          <w:lang w:val="uk-UA"/>
        </w:rPr>
      </w:pPr>
    </w:p>
    <w:p w:rsidR="008D3BFE" w:rsidRDefault="008D3BFE" w:rsidP="008D3BFE">
      <w:pPr>
        <w:spacing w:after="0" w:line="240" w:lineRule="auto"/>
        <w:ind w:firstLine="6237"/>
        <w:jc w:val="both"/>
        <w:rPr>
          <w:rFonts w:ascii="Times New Roman" w:hAnsi="Times New Roman" w:cs="Times New Roman"/>
          <w:sz w:val="28"/>
          <w:szCs w:val="28"/>
          <w:lang w:val="uk-UA"/>
        </w:rPr>
      </w:pPr>
    </w:p>
    <w:p w:rsidR="008D3BFE" w:rsidRDefault="008D3BFE" w:rsidP="008D3BFE">
      <w:pPr>
        <w:spacing w:after="0" w:line="240" w:lineRule="auto"/>
        <w:ind w:firstLine="6237"/>
        <w:jc w:val="both"/>
        <w:rPr>
          <w:rFonts w:ascii="Times New Roman" w:hAnsi="Times New Roman" w:cs="Times New Roman"/>
          <w:sz w:val="28"/>
          <w:szCs w:val="28"/>
          <w:lang w:val="uk-UA"/>
        </w:rPr>
      </w:pPr>
    </w:p>
    <w:p w:rsidR="008D3BFE" w:rsidRDefault="008D3BFE" w:rsidP="008D3BFE">
      <w:pPr>
        <w:spacing w:after="0" w:line="240" w:lineRule="auto"/>
        <w:jc w:val="center"/>
        <w:rPr>
          <w:rFonts w:ascii="Times New Roman" w:hAnsi="Times New Roman" w:cs="Times New Roman"/>
          <w:b/>
          <w:sz w:val="96"/>
          <w:szCs w:val="96"/>
          <w:lang w:val="uk-UA"/>
        </w:rPr>
      </w:pPr>
      <w:r w:rsidRPr="006B0F05">
        <w:rPr>
          <w:rFonts w:ascii="Times New Roman" w:hAnsi="Times New Roman" w:cs="Times New Roman"/>
          <w:b/>
          <w:sz w:val="72"/>
          <w:szCs w:val="72"/>
          <w:lang w:val="uk-UA"/>
        </w:rPr>
        <w:t>ПРОГРАМА</w:t>
      </w:r>
    </w:p>
    <w:p w:rsidR="008D3BFE" w:rsidRDefault="008D3BFE" w:rsidP="008D3BFE">
      <w:pPr>
        <w:spacing w:after="0" w:line="240" w:lineRule="auto"/>
        <w:jc w:val="center"/>
        <w:rPr>
          <w:rFonts w:ascii="Times New Roman" w:hAnsi="Times New Roman" w:cs="Times New Roman"/>
          <w:b/>
          <w:sz w:val="48"/>
          <w:szCs w:val="48"/>
          <w:lang w:val="uk-UA"/>
        </w:rPr>
      </w:pPr>
      <w:r w:rsidRPr="008D3BFE">
        <w:rPr>
          <w:rFonts w:ascii="Times New Roman" w:hAnsi="Times New Roman" w:cs="Times New Roman"/>
          <w:b/>
          <w:sz w:val="48"/>
          <w:szCs w:val="48"/>
          <w:lang w:val="uk-UA"/>
        </w:rPr>
        <w:t xml:space="preserve">соціально-економічного і культурного розвитку міста Житомира </w:t>
      </w:r>
    </w:p>
    <w:p w:rsidR="008D3BFE" w:rsidRDefault="008D3BFE" w:rsidP="008D3BFE">
      <w:pPr>
        <w:spacing w:after="0" w:line="240" w:lineRule="auto"/>
        <w:jc w:val="center"/>
        <w:rPr>
          <w:rFonts w:ascii="Times New Roman" w:hAnsi="Times New Roman" w:cs="Times New Roman"/>
          <w:b/>
          <w:sz w:val="48"/>
          <w:szCs w:val="48"/>
          <w:lang w:val="uk-UA"/>
        </w:rPr>
      </w:pPr>
      <w:r w:rsidRPr="008D3BFE">
        <w:rPr>
          <w:rFonts w:ascii="Times New Roman" w:hAnsi="Times New Roman" w:cs="Times New Roman"/>
          <w:b/>
          <w:sz w:val="48"/>
          <w:szCs w:val="48"/>
          <w:lang w:val="uk-UA"/>
        </w:rPr>
        <w:t>на 2018 рік</w:t>
      </w:r>
    </w:p>
    <w:p w:rsidR="006B0F05" w:rsidRDefault="006B0F05" w:rsidP="008D3BFE">
      <w:pPr>
        <w:spacing w:after="0" w:line="240" w:lineRule="auto"/>
        <w:jc w:val="center"/>
        <w:rPr>
          <w:rFonts w:ascii="Times New Roman" w:hAnsi="Times New Roman" w:cs="Times New Roman"/>
          <w:b/>
          <w:sz w:val="48"/>
          <w:szCs w:val="48"/>
          <w:lang w:val="uk-UA"/>
        </w:rPr>
      </w:pPr>
    </w:p>
    <w:p w:rsidR="006B0F05" w:rsidRDefault="006B0F05" w:rsidP="008D3BFE">
      <w:pPr>
        <w:spacing w:after="0" w:line="240" w:lineRule="auto"/>
        <w:jc w:val="center"/>
        <w:rPr>
          <w:rFonts w:ascii="Times New Roman" w:hAnsi="Times New Roman" w:cs="Times New Roman"/>
          <w:b/>
          <w:sz w:val="48"/>
          <w:szCs w:val="48"/>
          <w:lang w:val="uk-UA"/>
        </w:rPr>
      </w:pPr>
    </w:p>
    <w:p w:rsidR="006B0F05" w:rsidRDefault="006B0F05" w:rsidP="008D3BFE">
      <w:pPr>
        <w:spacing w:after="0" w:line="240" w:lineRule="auto"/>
        <w:jc w:val="center"/>
        <w:rPr>
          <w:rFonts w:ascii="Times New Roman" w:hAnsi="Times New Roman" w:cs="Times New Roman"/>
          <w:b/>
          <w:sz w:val="48"/>
          <w:szCs w:val="48"/>
          <w:lang w:val="uk-UA"/>
        </w:rPr>
      </w:pPr>
    </w:p>
    <w:p w:rsidR="006B0F05" w:rsidRDefault="006B0F05" w:rsidP="008D3BFE">
      <w:pPr>
        <w:spacing w:after="0" w:line="240" w:lineRule="auto"/>
        <w:jc w:val="center"/>
        <w:rPr>
          <w:rFonts w:ascii="Times New Roman" w:hAnsi="Times New Roman" w:cs="Times New Roman"/>
          <w:b/>
          <w:sz w:val="48"/>
          <w:szCs w:val="48"/>
          <w:lang w:val="uk-UA"/>
        </w:rPr>
      </w:pPr>
    </w:p>
    <w:p w:rsidR="006B0F05" w:rsidRDefault="006B0F05" w:rsidP="008D3BFE">
      <w:pPr>
        <w:spacing w:after="0" w:line="240" w:lineRule="auto"/>
        <w:jc w:val="center"/>
        <w:rPr>
          <w:rFonts w:ascii="Times New Roman" w:hAnsi="Times New Roman" w:cs="Times New Roman"/>
          <w:b/>
          <w:sz w:val="48"/>
          <w:szCs w:val="48"/>
          <w:lang w:val="uk-UA"/>
        </w:rPr>
      </w:pPr>
    </w:p>
    <w:p w:rsidR="006B0F05" w:rsidRDefault="006B0F05" w:rsidP="008D3BFE">
      <w:pPr>
        <w:spacing w:after="0" w:line="240" w:lineRule="auto"/>
        <w:jc w:val="center"/>
        <w:rPr>
          <w:rFonts w:ascii="Times New Roman" w:hAnsi="Times New Roman" w:cs="Times New Roman"/>
          <w:b/>
          <w:sz w:val="48"/>
          <w:szCs w:val="48"/>
          <w:lang w:val="uk-UA"/>
        </w:rPr>
      </w:pPr>
    </w:p>
    <w:p w:rsidR="006B0F05" w:rsidRDefault="006B0F05" w:rsidP="008D3BFE">
      <w:pPr>
        <w:spacing w:after="0" w:line="240" w:lineRule="auto"/>
        <w:jc w:val="center"/>
        <w:rPr>
          <w:rFonts w:ascii="Times New Roman" w:hAnsi="Times New Roman" w:cs="Times New Roman"/>
          <w:b/>
          <w:sz w:val="48"/>
          <w:szCs w:val="48"/>
          <w:lang w:val="uk-UA"/>
        </w:rPr>
      </w:pPr>
    </w:p>
    <w:p w:rsidR="006B0F05" w:rsidRDefault="006B0F05" w:rsidP="008D3BFE">
      <w:pPr>
        <w:spacing w:after="0" w:line="240" w:lineRule="auto"/>
        <w:jc w:val="center"/>
        <w:rPr>
          <w:rFonts w:ascii="Times New Roman" w:hAnsi="Times New Roman" w:cs="Times New Roman"/>
          <w:b/>
          <w:sz w:val="48"/>
          <w:szCs w:val="48"/>
          <w:lang w:val="uk-UA"/>
        </w:rPr>
      </w:pPr>
    </w:p>
    <w:p w:rsidR="006B0F05" w:rsidRDefault="006B0F05" w:rsidP="008D3BFE">
      <w:pPr>
        <w:spacing w:after="0" w:line="240" w:lineRule="auto"/>
        <w:jc w:val="center"/>
        <w:rPr>
          <w:rFonts w:ascii="Times New Roman" w:hAnsi="Times New Roman" w:cs="Times New Roman"/>
          <w:b/>
          <w:sz w:val="48"/>
          <w:szCs w:val="48"/>
          <w:lang w:val="uk-UA"/>
        </w:rPr>
      </w:pPr>
    </w:p>
    <w:p w:rsidR="006B0F05" w:rsidRDefault="006B0F05" w:rsidP="008D3BFE">
      <w:pPr>
        <w:spacing w:after="0" w:line="240" w:lineRule="auto"/>
        <w:jc w:val="center"/>
        <w:rPr>
          <w:rFonts w:ascii="Times New Roman" w:hAnsi="Times New Roman" w:cs="Times New Roman"/>
          <w:b/>
          <w:sz w:val="48"/>
          <w:szCs w:val="48"/>
          <w:lang w:val="uk-UA"/>
        </w:rPr>
      </w:pPr>
    </w:p>
    <w:p w:rsidR="006B0F05" w:rsidRDefault="006B0F05" w:rsidP="008D3BFE">
      <w:pPr>
        <w:spacing w:after="0" w:line="240" w:lineRule="auto"/>
        <w:jc w:val="center"/>
        <w:rPr>
          <w:rFonts w:ascii="Times New Roman" w:hAnsi="Times New Roman" w:cs="Times New Roman"/>
          <w:b/>
          <w:sz w:val="48"/>
          <w:szCs w:val="48"/>
          <w:lang w:val="uk-UA"/>
        </w:rPr>
      </w:pPr>
    </w:p>
    <w:p w:rsidR="006B0F05" w:rsidRDefault="006B0F05" w:rsidP="008D3BFE">
      <w:pPr>
        <w:spacing w:after="0" w:line="240" w:lineRule="auto"/>
        <w:jc w:val="center"/>
        <w:rPr>
          <w:rFonts w:ascii="Times New Roman" w:hAnsi="Times New Roman" w:cs="Times New Roman"/>
          <w:b/>
          <w:sz w:val="48"/>
          <w:szCs w:val="48"/>
          <w:lang w:val="uk-UA"/>
        </w:rPr>
      </w:pPr>
    </w:p>
    <w:p w:rsidR="00DE1447" w:rsidRDefault="00DE1447" w:rsidP="008D3BFE">
      <w:pPr>
        <w:spacing w:after="0" w:line="240" w:lineRule="auto"/>
        <w:jc w:val="center"/>
        <w:rPr>
          <w:rFonts w:ascii="Times New Roman" w:hAnsi="Times New Roman" w:cs="Times New Roman"/>
          <w:b/>
          <w:sz w:val="48"/>
          <w:szCs w:val="48"/>
          <w:lang w:val="uk-UA"/>
        </w:rPr>
      </w:pPr>
      <w:r>
        <w:rPr>
          <w:rFonts w:ascii="Times New Roman" w:hAnsi="Times New Roman" w:cs="Times New Roman"/>
          <w:b/>
          <w:sz w:val="48"/>
          <w:szCs w:val="48"/>
          <w:lang w:val="uk-UA"/>
        </w:rPr>
        <w:br w:type="page"/>
      </w:r>
    </w:p>
    <w:p w:rsidR="00A03CFF" w:rsidRDefault="00A03CFF" w:rsidP="00A03CFF">
      <w:pPr>
        <w:tabs>
          <w:tab w:val="left" w:pos="284"/>
        </w:tabs>
        <w:spacing w:after="0" w:line="240" w:lineRule="auto"/>
        <w:jc w:val="center"/>
        <w:rPr>
          <w:rFonts w:ascii="Times New Roman" w:hAnsi="Times New Roman" w:cs="Times New Roman"/>
          <w:b/>
          <w:color w:val="000000" w:themeColor="text1"/>
          <w:sz w:val="28"/>
          <w:szCs w:val="28"/>
          <w:lang w:val="uk-UA"/>
        </w:rPr>
      </w:pPr>
      <w:bookmarkStart w:id="0" w:name="_GoBack"/>
      <w:bookmarkEnd w:id="0"/>
      <w:r>
        <w:rPr>
          <w:rFonts w:ascii="Times New Roman" w:hAnsi="Times New Roman" w:cs="Times New Roman"/>
          <w:b/>
          <w:color w:val="000000" w:themeColor="text1"/>
          <w:sz w:val="28"/>
          <w:szCs w:val="28"/>
          <w:lang w:val="uk-UA"/>
        </w:rPr>
        <w:lastRenderedPageBreak/>
        <w:t>Паспорт Програми соціально-економічного і культурного розвитку міста Житомира на 2018 рік</w:t>
      </w:r>
    </w:p>
    <w:tbl>
      <w:tblPr>
        <w:tblStyle w:val="a4"/>
        <w:tblW w:w="0" w:type="auto"/>
        <w:tblLook w:val="04A0" w:firstRow="1" w:lastRow="0" w:firstColumn="1" w:lastColumn="0" w:noHBand="0" w:noVBand="1"/>
      </w:tblPr>
      <w:tblGrid>
        <w:gridCol w:w="3227"/>
        <w:gridCol w:w="6202"/>
      </w:tblGrid>
      <w:tr w:rsidR="00580B45" w:rsidRPr="00033E6A"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lang w:val="uk-UA"/>
              </w:rPr>
            </w:pPr>
            <w:r w:rsidRPr="00033E6A">
              <w:rPr>
                <w:rFonts w:ascii="Times New Roman" w:hAnsi="Times New Roman" w:cs="Times New Roman"/>
                <w:b/>
                <w:color w:val="000000" w:themeColor="text1"/>
                <w:sz w:val="24"/>
                <w:szCs w:val="24"/>
                <w:lang w:val="uk-UA"/>
              </w:rPr>
              <w:t>Назва Програми</w:t>
            </w:r>
          </w:p>
        </w:tc>
        <w:tc>
          <w:tcPr>
            <w:tcW w:w="6202" w:type="dxa"/>
          </w:tcPr>
          <w:p w:rsidR="00580B45" w:rsidRPr="00033E6A" w:rsidRDefault="00896BBB" w:rsidP="00580B45">
            <w:pPr>
              <w:tabs>
                <w:tab w:val="left" w:pos="284"/>
              </w:tabs>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Програма соціально-економічного і культурного розвитку міста Житомира на 2018 рік</w:t>
            </w:r>
          </w:p>
        </w:tc>
      </w:tr>
      <w:tr w:rsidR="00580B45" w:rsidRPr="00033E6A"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lang w:val="uk-UA"/>
              </w:rPr>
            </w:pPr>
            <w:r w:rsidRPr="00033E6A">
              <w:rPr>
                <w:rFonts w:ascii="Times New Roman" w:hAnsi="Times New Roman" w:cs="Times New Roman"/>
                <w:b/>
                <w:color w:val="000000" w:themeColor="text1"/>
                <w:sz w:val="24"/>
                <w:szCs w:val="24"/>
                <w:lang w:val="uk-UA"/>
              </w:rPr>
              <w:t>Ініціатор розроблення Програми</w:t>
            </w:r>
          </w:p>
        </w:tc>
        <w:tc>
          <w:tcPr>
            <w:tcW w:w="6202" w:type="dxa"/>
          </w:tcPr>
          <w:p w:rsidR="00580B45" w:rsidRPr="00033E6A" w:rsidRDefault="00896BBB" w:rsidP="00580B45">
            <w:pPr>
              <w:tabs>
                <w:tab w:val="left" w:pos="284"/>
              </w:tabs>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Виконавчий комітет Житомирської міської ради</w:t>
            </w:r>
          </w:p>
        </w:tc>
      </w:tr>
      <w:tr w:rsidR="00580B45" w:rsidRPr="00033E6A"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lang w:val="uk-UA"/>
              </w:rPr>
            </w:pPr>
            <w:r w:rsidRPr="00033E6A">
              <w:rPr>
                <w:rFonts w:ascii="Times New Roman" w:hAnsi="Times New Roman" w:cs="Times New Roman"/>
                <w:b/>
                <w:color w:val="000000" w:themeColor="text1"/>
                <w:sz w:val="24"/>
                <w:szCs w:val="24"/>
                <w:lang w:val="uk-UA"/>
              </w:rPr>
              <w:t>Підстави для розробки Програми</w:t>
            </w:r>
          </w:p>
        </w:tc>
        <w:tc>
          <w:tcPr>
            <w:tcW w:w="6202" w:type="dxa"/>
          </w:tcPr>
          <w:p w:rsidR="00580B45" w:rsidRPr="00033E6A" w:rsidRDefault="00896BBB" w:rsidP="00580B45">
            <w:pPr>
              <w:tabs>
                <w:tab w:val="left" w:pos="284"/>
              </w:tabs>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Закони України «Про місцеве самоврядування в Україні», «Про державне прогнозування та розроблення програм економічного і соціального розвитку України»</w:t>
            </w:r>
          </w:p>
        </w:tc>
      </w:tr>
      <w:tr w:rsidR="00580B45" w:rsidRPr="00033E6A"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lang w:val="uk-UA"/>
              </w:rPr>
            </w:pPr>
            <w:r w:rsidRPr="00033E6A">
              <w:rPr>
                <w:rFonts w:ascii="Times New Roman" w:hAnsi="Times New Roman" w:cs="Times New Roman"/>
                <w:b/>
                <w:color w:val="000000" w:themeColor="text1"/>
                <w:sz w:val="24"/>
                <w:szCs w:val="24"/>
                <w:lang w:val="uk-UA"/>
              </w:rPr>
              <w:t>Дата, номер і назва розпорядчого документа про розроблення Програми</w:t>
            </w:r>
          </w:p>
        </w:tc>
        <w:tc>
          <w:tcPr>
            <w:tcW w:w="6202" w:type="dxa"/>
          </w:tcPr>
          <w:p w:rsidR="00580B45" w:rsidRPr="00033E6A" w:rsidRDefault="00670654" w:rsidP="00580B45">
            <w:pPr>
              <w:tabs>
                <w:tab w:val="left" w:pos="284"/>
              </w:tabs>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Доручення міського голови від 23.08.2017 № 112/Д «Про підготовку проекту Програми соціально-економічного і культурного розвитку міста Житомира на 2018 рік»</w:t>
            </w:r>
          </w:p>
        </w:tc>
      </w:tr>
      <w:tr w:rsidR="00580B45" w:rsidRPr="00033E6A"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lang w:val="uk-UA"/>
              </w:rPr>
            </w:pPr>
            <w:r w:rsidRPr="00033E6A">
              <w:rPr>
                <w:rFonts w:ascii="Times New Roman" w:hAnsi="Times New Roman" w:cs="Times New Roman"/>
                <w:b/>
                <w:color w:val="000000" w:themeColor="text1"/>
                <w:sz w:val="24"/>
                <w:szCs w:val="24"/>
                <w:lang w:val="uk-UA"/>
              </w:rPr>
              <w:t>Розробник Програми</w:t>
            </w:r>
          </w:p>
        </w:tc>
        <w:tc>
          <w:tcPr>
            <w:tcW w:w="6202" w:type="dxa"/>
          </w:tcPr>
          <w:p w:rsidR="00580B45" w:rsidRPr="00033E6A" w:rsidRDefault="00A503B3" w:rsidP="00580B45">
            <w:pPr>
              <w:tabs>
                <w:tab w:val="left" w:pos="284"/>
              </w:tabs>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Департамент економічного розвитку міської ради</w:t>
            </w:r>
          </w:p>
        </w:tc>
      </w:tr>
      <w:tr w:rsidR="00580B45" w:rsidRPr="00033E6A"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lang w:val="uk-UA"/>
              </w:rPr>
            </w:pPr>
            <w:r w:rsidRPr="00033E6A">
              <w:rPr>
                <w:rFonts w:ascii="Times New Roman" w:hAnsi="Times New Roman" w:cs="Times New Roman"/>
                <w:b/>
                <w:color w:val="000000" w:themeColor="text1"/>
                <w:sz w:val="24"/>
                <w:szCs w:val="24"/>
                <w:lang w:val="uk-UA"/>
              </w:rPr>
              <w:t>Співрозробники Програми</w:t>
            </w:r>
          </w:p>
        </w:tc>
        <w:tc>
          <w:tcPr>
            <w:tcW w:w="6202" w:type="dxa"/>
          </w:tcPr>
          <w:p w:rsidR="00580B45" w:rsidRPr="00033E6A" w:rsidRDefault="00A503B3" w:rsidP="00580B45">
            <w:pPr>
              <w:tabs>
                <w:tab w:val="left" w:pos="284"/>
              </w:tabs>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Виконавчі органи міської ради</w:t>
            </w:r>
          </w:p>
        </w:tc>
      </w:tr>
      <w:tr w:rsidR="00580B45" w:rsidRPr="00033E6A"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lang w:val="uk-UA"/>
              </w:rPr>
            </w:pPr>
            <w:r w:rsidRPr="00033E6A">
              <w:rPr>
                <w:rFonts w:ascii="Times New Roman" w:hAnsi="Times New Roman" w:cs="Times New Roman"/>
                <w:b/>
                <w:color w:val="000000" w:themeColor="text1"/>
                <w:sz w:val="24"/>
                <w:szCs w:val="24"/>
                <w:lang w:val="uk-UA"/>
              </w:rPr>
              <w:t>Відповідальні виконавці Програми</w:t>
            </w:r>
          </w:p>
        </w:tc>
        <w:tc>
          <w:tcPr>
            <w:tcW w:w="6202" w:type="dxa"/>
          </w:tcPr>
          <w:p w:rsidR="00580B45" w:rsidRPr="00033E6A" w:rsidRDefault="00A503B3" w:rsidP="00580B45">
            <w:pPr>
              <w:tabs>
                <w:tab w:val="left" w:pos="284"/>
              </w:tabs>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Виконавчі органи, комунальні підприємства міської ради</w:t>
            </w:r>
          </w:p>
        </w:tc>
      </w:tr>
      <w:tr w:rsidR="00580B45" w:rsidRPr="009742A1"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lang w:val="uk-UA"/>
              </w:rPr>
            </w:pPr>
            <w:r w:rsidRPr="00033E6A">
              <w:rPr>
                <w:rFonts w:ascii="Times New Roman" w:hAnsi="Times New Roman" w:cs="Times New Roman"/>
                <w:b/>
                <w:color w:val="000000" w:themeColor="text1"/>
                <w:sz w:val="24"/>
                <w:szCs w:val="24"/>
                <w:lang w:val="uk-UA"/>
              </w:rPr>
              <w:t>Учасники Програми</w:t>
            </w:r>
          </w:p>
        </w:tc>
        <w:tc>
          <w:tcPr>
            <w:tcW w:w="6202" w:type="dxa"/>
          </w:tcPr>
          <w:p w:rsidR="00580B45" w:rsidRPr="00033E6A" w:rsidRDefault="00745CA8" w:rsidP="00580B45">
            <w:pPr>
              <w:tabs>
                <w:tab w:val="left" w:pos="284"/>
              </w:tabs>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Підприємства, установи, організації різної форми власності та суб’єкти підприємницької діяльності міста (за згодою)</w:t>
            </w:r>
          </w:p>
        </w:tc>
      </w:tr>
      <w:tr w:rsidR="00580B45" w:rsidRPr="009742A1"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lang w:val="uk-UA"/>
              </w:rPr>
            </w:pPr>
            <w:r w:rsidRPr="00033E6A">
              <w:rPr>
                <w:rFonts w:ascii="Times New Roman" w:hAnsi="Times New Roman" w:cs="Times New Roman"/>
                <w:b/>
                <w:color w:val="000000" w:themeColor="text1"/>
                <w:sz w:val="24"/>
                <w:szCs w:val="24"/>
                <w:lang w:val="uk-UA"/>
              </w:rPr>
              <w:t>Мета Програми</w:t>
            </w:r>
          </w:p>
        </w:tc>
        <w:tc>
          <w:tcPr>
            <w:tcW w:w="6202" w:type="dxa"/>
          </w:tcPr>
          <w:p w:rsidR="00580B45" w:rsidRPr="00033E6A" w:rsidRDefault="00756B03" w:rsidP="00580B45">
            <w:pPr>
              <w:tabs>
                <w:tab w:val="left" w:pos="284"/>
              </w:tabs>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 xml:space="preserve">Створення умов для економічного розвитку на інноваційно-інвестиційній основі та залучення внутрішніх та зовнішніх інвестицій, забезпечення належного функціонування та зниження енергозатратності міської інфраструктури, </w:t>
            </w:r>
            <w:r w:rsidR="004C6CA4" w:rsidRPr="00033E6A">
              <w:rPr>
                <w:rFonts w:ascii="Times New Roman" w:hAnsi="Times New Roman" w:cs="Times New Roman"/>
                <w:i/>
                <w:color w:val="000000" w:themeColor="text1"/>
                <w:sz w:val="24"/>
                <w:szCs w:val="24"/>
                <w:lang w:val="uk-UA"/>
              </w:rPr>
              <w:t>поліпшення екологічного стану довкілля, доступності широкого спектра соціальних послуг, підвищення якості і комфорту проживання мешканців міста</w:t>
            </w:r>
          </w:p>
        </w:tc>
      </w:tr>
      <w:tr w:rsidR="00580B45" w:rsidRPr="00033E6A"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lang w:val="uk-UA"/>
              </w:rPr>
            </w:pPr>
            <w:r w:rsidRPr="00033E6A">
              <w:rPr>
                <w:rFonts w:ascii="Times New Roman" w:hAnsi="Times New Roman" w:cs="Times New Roman"/>
                <w:b/>
                <w:color w:val="000000" w:themeColor="text1"/>
                <w:sz w:val="24"/>
                <w:szCs w:val="24"/>
                <w:lang w:val="uk-UA"/>
              </w:rPr>
              <w:t>Термін реалізації Програми</w:t>
            </w:r>
          </w:p>
        </w:tc>
        <w:tc>
          <w:tcPr>
            <w:tcW w:w="6202" w:type="dxa"/>
          </w:tcPr>
          <w:p w:rsidR="00580B45" w:rsidRPr="00033E6A" w:rsidRDefault="004C6CA4" w:rsidP="00580B45">
            <w:pPr>
              <w:tabs>
                <w:tab w:val="left" w:pos="284"/>
              </w:tabs>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2018</w:t>
            </w:r>
            <w:r w:rsidR="00916937">
              <w:rPr>
                <w:rFonts w:ascii="Times New Roman" w:hAnsi="Times New Roman" w:cs="Times New Roman"/>
                <w:i/>
                <w:color w:val="000000" w:themeColor="text1"/>
                <w:sz w:val="24"/>
                <w:szCs w:val="24"/>
                <w:lang w:val="uk-UA"/>
              </w:rPr>
              <w:t xml:space="preserve"> рік</w:t>
            </w:r>
          </w:p>
        </w:tc>
      </w:tr>
      <w:tr w:rsidR="00580B45" w:rsidRPr="00033E6A"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lang w:val="uk-UA"/>
              </w:rPr>
            </w:pPr>
            <w:r w:rsidRPr="00033E6A">
              <w:rPr>
                <w:rFonts w:ascii="Times New Roman" w:hAnsi="Times New Roman" w:cs="Times New Roman"/>
                <w:b/>
                <w:color w:val="000000" w:themeColor="text1"/>
                <w:sz w:val="24"/>
                <w:szCs w:val="24"/>
                <w:lang w:val="uk-UA"/>
              </w:rPr>
              <w:t>Основні джерела фінансування заходів Програми</w:t>
            </w:r>
          </w:p>
        </w:tc>
        <w:tc>
          <w:tcPr>
            <w:tcW w:w="6202" w:type="dxa"/>
          </w:tcPr>
          <w:p w:rsidR="00580B45" w:rsidRPr="00033E6A" w:rsidRDefault="004C6CA4" w:rsidP="00033E6A">
            <w:pPr>
              <w:pStyle w:val="a3"/>
              <w:numPr>
                <w:ilvl w:val="0"/>
                <w:numId w:val="2"/>
              </w:numPr>
              <w:tabs>
                <w:tab w:val="left" w:pos="284"/>
              </w:tabs>
              <w:ind w:left="317" w:hanging="283"/>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міський бюджет;</w:t>
            </w:r>
          </w:p>
          <w:p w:rsidR="004C6CA4" w:rsidRPr="00033E6A" w:rsidRDefault="004C6CA4" w:rsidP="00033E6A">
            <w:pPr>
              <w:pStyle w:val="a3"/>
              <w:numPr>
                <w:ilvl w:val="0"/>
                <w:numId w:val="2"/>
              </w:numPr>
              <w:tabs>
                <w:tab w:val="left" w:pos="284"/>
              </w:tabs>
              <w:ind w:left="317" w:hanging="283"/>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державний бюджет;</w:t>
            </w:r>
          </w:p>
          <w:p w:rsidR="004C6CA4" w:rsidRPr="00033E6A" w:rsidRDefault="0038096D" w:rsidP="00033E6A">
            <w:pPr>
              <w:pStyle w:val="a3"/>
              <w:numPr>
                <w:ilvl w:val="0"/>
                <w:numId w:val="2"/>
              </w:numPr>
              <w:tabs>
                <w:tab w:val="left" w:pos="284"/>
              </w:tabs>
              <w:ind w:left="317" w:hanging="283"/>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en-US"/>
              </w:rPr>
              <w:t>обласний бюджет;</w:t>
            </w:r>
          </w:p>
          <w:p w:rsidR="0038096D" w:rsidRPr="00033E6A" w:rsidRDefault="0038096D" w:rsidP="00033E6A">
            <w:pPr>
              <w:pStyle w:val="a3"/>
              <w:numPr>
                <w:ilvl w:val="0"/>
                <w:numId w:val="2"/>
              </w:numPr>
              <w:tabs>
                <w:tab w:val="left" w:pos="284"/>
              </w:tabs>
              <w:ind w:left="317" w:hanging="283"/>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міжнародна технічна допомога, кошти донорських організацій, кредити міжнародних фінансових організацій;</w:t>
            </w:r>
          </w:p>
          <w:p w:rsidR="0038096D" w:rsidRPr="00033E6A" w:rsidRDefault="0038096D" w:rsidP="00033E6A">
            <w:pPr>
              <w:pStyle w:val="a3"/>
              <w:numPr>
                <w:ilvl w:val="0"/>
                <w:numId w:val="2"/>
              </w:numPr>
              <w:tabs>
                <w:tab w:val="left" w:pos="284"/>
              </w:tabs>
              <w:ind w:left="317" w:hanging="283"/>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власні кошти підприємств;</w:t>
            </w:r>
          </w:p>
          <w:p w:rsidR="0038096D" w:rsidRPr="00033E6A" w:rsidRDefault="0038096D" w:rsidP="00033E6A">
            <w:pPr>
              <w:pStyle w:val="a3"/>
              <w:numPr>
                <w:ilvl w:val="0"/>
                <w:numId w:val="2"/>
              </w:numPr>
              <w:tabs>
                <w:tab w:val="left" w:pos="284"/>
              </w:tabs>
              <w:ind w:left="317" w:hanging="283"/>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інші джерела.</w:t>
            </w:r>
          </w:p>
        </w:tc>
      </w:tr>
      <w:tr w:rsidR="00580B45" w:rsidRPr="00033E6A" w:rsidTr="00580B45">
        <w:tc>
          <w:tcPr>
            <w:tcW w:w="3227" w:type="dxa"/>
          </w:tcPr>
          <w:p w:rsidR="00580B45" w:rsidRPr="00033E6A" w:rsidRDefault="00580B45" w:rsidP="00580B45">
            <w:pPr>
              <w:tabs>
                <w:tab w:val="left" w:pos="284"/>
              </w:tabs>
              <w:rPr>
                <w:rFonts w:ascii="Times New Roman" w:hAnsi="Times New Roman" w:cs="Times New Roman"/>
                <w:b/>
                <w:color w:val="000000" w:themeColor="text1"/>
                <w:sz w:val="24"/>
                <w:szCs w:val="24"/>
                <w:lang w:val="uk-UA"/>
              </w:rPr>
            </w:pPr>
            <w:r w:rsidRPr="00033E6A">
              <w:rPr>
                <w:rFonts w:ascii="Times New Roman" w:hAnsi="Times New Roman" w:cs="Times New Roman"/>
                <w:b/>
                <w:color w:val="000000" w:themeColor="text1"/>
                <w:sz w:val="24"/>
                <w:szCs w:val="24"/>
                <w:lang w:val="uk-UA"/>
              </w:rPr>
              <w:t xml:space="preserve"> Очікувані результати виконання</w:t>
            </w:r>
          </w:p>
        </w:tc>
        <w:tc>
          <w:tcPr>
            <w:tcW w:w="6202" w:type="dxa"/>
          </w:tcPr>
          <w:p w:rsidR="00580B45" w:rsidRPr="00033E6A" w:rsidRDefault="0038096D" w:rsidP="00033E6A">
            <w:pPr>
              <w:pStyle w:val="a3"/>
              <w:numPr>
                <w:ilvl w:val="0"/>
                <w:numId w:val="2"/>
              </w:numPr>
              <w:tabs>
                <w:tab w:val="left" w:pos="284"/>
              </w:tabs>
              <w:ind w:left="317" w:hanging="283"/>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забезпечення економічного розвитку міста;</w:t>
            </w:r>
          </w:p>
          <w:p w:rsidR="0038096D" w:rsidRPr="00033E6A" w:rsidRDefault="0038096D" w:rsidP="00033E6A">
            <w:pPr>
              <w:pStyle w:val="a3"/>
              <w:numPr>
                <w:ilvl w:val="0"/>
                <w:numId w:val="2"/>
              </w:numPr>
              <w:tabs>
                <w:tab w:val="left" w:pos="284"/>
              </w:tabs>
              <w:ind w:left="317" w:hanging="283"/>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підвищення ефективності використання енергоресурсів на об’</w:t>
            </w:r>
            <w:r w:rsidRPr="00033E6A">
              <w:rPr>
                <w:rFonts w:ascii="Times New Roman" w:hAnsi="Times New Roman" w:cs="Times New Roman"/>
                <w:i/>
                <w:color w:val="000000" w:themeColor="text1"/>
                <w:sz w:val="24"/>
                <w:szCs w:val="24"/>
              </w:rPr>
              <w:t>єктах бюджетної сфери та житлово</w:t>
            </w:r>
            <w:r w:rsidRPr="00033E6A">
              <w:rPr>
                <w:rFonts w:ascii="Times New Roman" w:hAnsi="Times New Roman" w:cs="Times New Roman"/>
                <w:i/>
                <w:color w:val="000000" w:themeColor="text1"/>
                <w:sz w:val="24"/>
                <w:szCs w:val="24"/>
                <w:lang w:val="uk-UA"/>
              </w:rPr>
              <w:t xml:space="preserve"> </w:t>
            </w:r>
            <w:r w:rsidRPr="00033E6A">
              <w:rPr>
                <w:rFonts w:ascii="Times New Roman" w:hAnsi="Times New Roman" w:cs="Times New Roman"/>
                <w:i/>
                <w:color w:val="000000" w:themeColor="text1"/>
                <w:sz w:val="24"/>
                <w:szCs w:val="24"/>
              </w:rPr>
              <w:t>-</w:t>
            </w:r>
            <w:r w:rsidRPr="00033E6A">
              <w:rPr>
                <w:rFonts w:ascii="Times New Roman" w:hAnsi="Times New Roman" w:cs="Times New Roman"/>
                <w:i/>
                <w:color w:val="000000" w:themeColor="text1"/>
                <w:sz w:val="24"/>
                <w:szCs w:val="24"/>
                <w:lang w:val="uk-UA"/>
              </w:rPr>
              <w:t xml:space="preserve"> </w:t>
            </w:r>
            <w:r w:rsidRPr="00033E6A">
              <w:rPr>
                <w:rFonts w:ascii="Times New Roman" w:hAnsi="Times New Roman" w:cs="Times New Roman"/>
                <w:i/>
                <w:color w:val="000000" w:themeColor="text1"/>
                <w:sz w:val="24"/>
                <w:szCs w:val="24"/>
              </w:rPr>
              <w:t>комунального господарства;</w:t>
            </w:r>
          </w:p>
          <w:p w:rsidR="0038096D" w:rsidRPr="00033E6A" w:rsidRDefault="0038096D" w:rsidP="00033E6A">
            <w:pPr>
              <w:pStyle w:val="a3"/>
              <w:numPr>
                <w:ilvl w:val="0"/>
                <w:numId w:val="2"/>
              </w:numPr>
              <w:tabs>
                <w:tab w:val="left" w:pos="284"/>
              </w:tabs>
              <w:ind w:left="317" w:hanging="283"/>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забезпечення стабільного функціонування об’</w:t>
            </w:r>
            <w:r w:rsidRPr="00033E6A">
              <w:rPr>
                <w:rFonts w:ascii="Times New Roman" w:hAnsi="Times New Roman" w:cs="Times New Roman"/>
                <w:i/>
                <w:color w:val="000000" w:themeColor="text1"/>
                <w:sz w:val="24"/>
                <w:szCs w:val="24"/>
              </w:rPr>
              <w:t>єктів житлово-комунального господарства;</w:t>
            </w:r>
          </w:p>
          <w:p w:rsidR="0038096D" w:rsidRPr="00033E6A" w:rsidRDefault="0038096D" w:rsidP="00033E6A">
            <w:pPr>
              <w:pStyle w:val="a3"/>
              <w:numPr>
                <w:ilvl w:val="0"/>
                <w:numId w:val="2"/>
              </w:numPr>
              <w:tabs>
                <w:tab w:val="left" w:pos="284"/>
              </w:tabs>
              <w:ind w:left="317" w:hanging="283"/>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покращення якості послуг з перевезення пасажирів ;</w:t>
            </w:r>
          </w:p>
          <w:p w:rsidR="0038096D" w:rsidRPr="00033E6A" w:rsidRDefault="0038096D" w:rsidP="00033E6A">
            <w:pPr>
              <w:pStyle w:val="a3"/>
              <w:numPr>
                <w:ilvl w:val="0"/>
                <w:numId w:val="2"/>
              </w:numPr>
              <w:tabs>
                <w:tab w:val="left" w:pos="284"/>
              </w:tabs>
              <w:ind w:left="317" w:hanging="283"/>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зростання рівня задоволення громадян навчально-виховним процесом у заклад</w:t>
            </w:r>
            <w:r w:rsidR="00E0502F" w:rsidRPr="00033E6A">
              <w:rPr>
                <w:rFonts w:ascii="Times New Roman" w:hAnsi="Times New Roman" w:cs="Times New Roman"/>
                <w:i/>
                <w:color w:val="000000" w:themeColor="text1"/>
                <w:sz w:val="24"/>
                <w:szCs w:val="24"/>
                <w:lang w:val="uk-UA"/>
              </w:rPr>
              <w:t>а</w:t>
            </w:r>
            <w:r w:rsidRPr="00033E6A">
              <w:rPr>
                <w:rFonts w:ascii="Times New Roman" w:hAnsi="Times New Roman" w:cs="Times New Roman"/>
                <w:i/>
                <w:color w:val="000000" w:themeColor="text1"/>
                <w:sz w:val="24"/>
                <w:szCs w:val="24"/>
                <w:lang w:val="uk-UA"/>
              </w:rPr>
              <w:t>х освіти та наданням медичних послуг;</w:t>
            </w:r>
          </w:p>
          <w:p w:rsidR="0038096D" w:rsidRPr="00033E6A" w:rsidRDefault="0038096D" w:rsidP="00033E6A">
            <w:pPr>
              <w:pStyle w:val="a3"/>
              <w:numPr>
                <w:ilvl w:val="0"/>
                <w:numId w:val="2"/>
              </w:numPr>
              <w:tabs>
                <w:tab w:val="left" w:pos="284"/>
              </w:tabs>
              <w:ind w:left="317" w:hanging="283"/>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збільшення до</w:t>
            </w:r>
            <w:r w:rsidR="00E0502F" w:rsidRPr="00033E6A">
              <w:rPr>
                <w:rFonts w:ascii="Times New Roman" w:hAnsi="Times New Roman" w:cs="Times New Roman"/>
                <w:i/>
                <w:color w:val="000000" w:themeColor="text1"/>
                <w:sz w:val="24"/>
                <w:szCs w:val="24"/>
                <w:lang w:val="uk-UA"/>
              </w:rPr>
              <w:t>ступності до занять фізкультурою та спортом;</w:t>
            </w:r>
          </w:p>
          <w:p w:rsidR="00E0502F" w:rsidRDefault="00E0502F" w:rsidP="00033E6A">
            <w:pPr>
              <w:pStyle w:val="a3"/>
              <w:numPr>
                <w:ilvl w:val="0"/>
                <w:numId w:val="2"/>
              </w:numPr>
              <w:tabs>
                <w:tab w:val="left" w:pos="284"/>
              </w:tabs>
              <w:ind w:left="317" w:hanging="283"/>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залучення громадян до процесів управління містом.</w:t>
            </w:r>
          </w:p>
          <w:p w:rsidR="00033E6A" w:rsidRPr="00033E6A" w:rsidRDefault="00033E6A" w:rsidP="00033E6A">
            <w:pPr>
              <w:pStyle w:val="a3"/>
              <w:tabs>
                <w:tab w:val="left" w:pos="284"/>
              </w:tabs>
              <w:ind w:left="317"/>
              <w:rPr>
                <w:rFonts w:ascii="Times New Roman" w:hAnsi="Times New Roman" w:cs="Times New Roman"/>
                <w:i/>
                <w:color w:val="000000" w:themeColor="text1"/>
                <w:sz w:val="24"/>
                <w:szCs w:val="24"/>
                <w:lang w:val="uk-UA"/>
              </w:rPr>
            </w:pPr>
          </w:p>
        </w:tc>
      </w:tr>
      <w:tr w:rsidR="00580B45" w:rsidRPr="009742A1" w:rsidTr="00580B45">
        <w:tc>
          <w:tcPr>
            <w:tcW w:w="3227" w:type="dxa"/>
          </w:tcPr>
          <w:p w:rsidR="00580B45" w:rsidRPr="00033E6A" w:rsidRDefault="00620E49" w:rsidP="00580B45">
            <w:pPr>
              <w:tabs>
                <w:tab w:val="left" w:pos="284"/>
              </w:tabs>
              <w:rPr>
                <w:rFonts w:ascii="Times New Roman" w:hAnsi="Times New Roman" w:cs="Times New Roman"/>
                <w:b/>
                <w:color w:val="000000" w:themeColor="text1"/>
                <w:sz w:val="24"/>
                <w:szCs w:val="24"/>
                <w:lang w:val="uk-UA"/>
              </w:rPr>
            </w:pPr>
            <w:r w:rsidRPr="00033E6A">
              <w:rPr>
                <w:rFonts w:ascii="Times New Roman" w:hAnsi="Times New Roman" w:cs="Times New Roman"/>
                <w:b/>
                <w:color w:val="000000" w:themeColor="text1"/>
                <w:sz w:val="24"/>
                <w:szCs w:val="24"/>
                <w:lang w:val="uk-UA"/>
              </w:rPr>
              <w:lastRenderedPageBreak/>
              <w:t>Контроль за виконанням Програми</w:t>
            </w:r>
          </w:p>
        </w:tc>
        <w:tc>
          <w:tcPr>
            <w:tcW w:w="6202" w:type="dxa"/>
          </w:tcPr>
          <w:p w:rsidR="00580B45" w:rsidRPr="00033E6A" w:rsidRDefault="00E0502F" w:rsidP="00580B45">
            <w:pPr>
              <w:tabs>
                <w:tab w:val="left" w:pos="284"/>
              </w:tabs>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Контроль за виконанням заходів Програми здійснюють:</w:t>
            </w:r>
          </w:p>
          <w:p w:rsidR="00E0502F" w:rsidRPr="00033E6A" w:rsidRDefault="00E0502F" w:rsidP="00033E6A">
            <w:pPr>
              <w:pStyle w:val="a3"/>
              <w:numPr>
                <w:ilvl w:val="0"/>
                <w:numId w:val="2"/>
              </w:numPr>
              <w:tabs>
                <w:tab w:val="left" w:pos="284"/>
              </w:tabs>
              <w:ind w:left="317" w:hanging="283"/>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міська рада (щорічно);</w:t>
            </w:r>
          </w:p>
          <w:p w:rsidR="00E0502F" w:rsidRPr="00033E6A" w:rsidRDefault="00E0502F" w:rsidP="00033E6A">
            <w:pPr>
              <w:pStyle w:val="a3"/>
              <w:numPr>
                <w:ilvl w:val="0"/>
                <w:numId w:val="2"/>
              </w:numPr>
              <w:tabs>
                <w:tab w:val="left" w:pos="284"/>
              </w:tabs>
              <w:ind w:left="317" w:hanging="283"/>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виконавчий комітет міської ради;</w:t>
            </w:r>
          </w:p>
          <w:p w:rsidR="00E0502F" w:rsidRPr="00033E6A" w:rsidRDefault="00E0502F" w:rsidP="00033E6A">
            <w:pPr>
              <w:pStyle w:val="a3"/>
              <w:numPr>
                <w:ilvl w:val="0"/>
                <w:numId w:val="2"/>
              </w:numPr>
              <w:tabs>
                <w:tab w:val="left" w:pos="284"/>
              </w:tabs>
              <w:ind w:left="317" w:hanging="283"/>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головні розпорядники бюджетних коштів (щомісячно);</w:t>
            </w:r>
          </w:p>
          <w:p w:rsidR="00E0502F" w:rsidRPr="00033E6A" w:rsidRDefault="00E0502F" w:rsidP="00033E6A">
            <w:pPr>
              <w:pStyle w:val="a3"/>
              <w:numPr>
                <w:ilvl w:val="0"/>
                <w:numId w:val="2"/>
              </w:numPr>
              <w:tabs>
                <w:tab w:val="left" w:pos="284"/>
              </w:tabs>
              <w:ind w:left="317" w:hanging="283"/>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відповідальні виконавці (постійно).</w:t>
            </w:r>
          </w:p>
          <w:p w:rsidR="00E0502F" w:rsidRPr="00033E6A" w:rsidRDefault="00E0502F" w:rsidP="00E0502F">
            <w:pPr>
              <w:pStyle w:val="a3"/>
              <w:tabs>
                <w:tab w:val="left" w:pos="284"/>
              </w:tabs>
              <w:ind w:left="34"/>
              <w:jc w:val="both"/>
              <w:rPr>
                <w:rFonts w:ascii="Times New Roman" w:hAnsi="Times New Roman" w:cs="Times New Roman"/>
                <w:i/>
                <w:color w:val="000000" w:themeColor="text1"/>
                <w:sz w:val="24"/>
                <w:szCs w:val="24"/>
                <w:lang w:val="uk-UA"/>
              </w:rPr>
            </w:pPr>
            <w:r w:rsidRPr="00033E6A">
              <w:rPr>
                <w:rFonts w:ascii="Times New Roman" w:hAnsi="Times New Roman" w:cs="Times New Roman"/>
                <w:i/>
                <w:color w:val="000000" w:themeColor="text1"/>
                <w:sz w:val="24"/>
                <w:szCs w:val="24"/>
                <w:lang w:val="uk-UA"/>
              </w:rPr>
              <w:t>Щоквартальний моніторинг виконання заходів Програми здійснює департамент економічного розвитку міської ради, аналізуючи щоквартальні звіти відповідальних виконавців – головних розпорядників коштів.</w:t>
            </w:r>
          </w:p>
        </w:tc>
      </w:tr>
    </w:tbl>
    <w:p w:rsidR="00580B45" w:rsidRPr="00033E6A" w:rsidRDefault="00580B45" w:rsidP="00580B45">
      <w:pPr>
        <w:tabs>
          <w:tab w:val="left" w:pos="284"/>
        </w:tabs>
        <w:spacing w:after="0" w:line="240" w:lineRule="auto"/>
        <w:rPr>
          <w:rFonts w:ascii="Times New Roman" w:hAnsi="Times New Roman" w:cs="Times New Roman"/>
          <w:b/>
          <w:color w:val="000000" w:themeColor="text1"/>
          <w:sz w:val="24"/>
          <w:szCs w:val="24"/>
          <w:lang w:val="uk-UA"/>
        </w:rPr>
      </w:pPr>
    </w:p>
    <w:p w:rsidR="00B726ED" w:rsidRPr="00033E6A" w:rsidRDefault="00B726ED"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P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4"/>
          <w:szCs w:val="24"/>
          <w:lang w:val="uk-UA"/>
        </w:rPr>
      </w:pPr>
    </w:p>
    <w:p w:rsid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6"/>
          <w:szCs w:val="26"/>
          <w:lang w:val="uk-UA"/>
        </w:rPr>
      </w:pPr>
    </w:p>
    <w:p w:rsid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6"/>
          <w:szCs w:val="26"/>
          <w:lang w:val="uk-UA"/>
        </w:rPr>
      </w:pPr>
    </w:p>
    <w:p w:rsid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6"/>
          <w:szCs w:val="26"/>
          <w:lang w:val="uk-UA"/>
        </w:rPr>
      </w:pPr>
    </w:p>
    <w:p w:rsid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6"/>
          <w:szCs w:val="26"/>
          <w:lang w:val="uk-UA"/>
        </w:rPr>
      </w:pPr>
    </w:p>
    <w:p w:rsid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6"/>
          <w:szCs w:val="26"/>
          <w:lang w:val="uk-UA"/>
        </w:rPr>
      </w:pPr>
    </w:p>
    <w:p w:rsid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6"/>
          <w:szCs w:val="26"/>
          <w:lang w:val="uk-UA"/>
        </w:rPr>
      </w:pPr>
    </w:p>
    <w:p w:rsid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6"/>
          <w:szCs w:val="26"/>
          <w:lang w:val="uk-UA"/>
        </w:rPr>
      </w:pPr>
    </w:p>
    <w:p w:rsid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6"/>
          <w:szCs w:val="26"/>
          <w:lang w:val="uk-UA"/>
        </w:rPr>
      </w:pPr>
    </w:p>
    <w:p w:rsid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6"/>
          <w:szCs w:val="26"/>
          <w:lang w:val="uk-UA"/>
        </w:rPr>
      </w:pPr>
    </w:p>
    <w:p w:rsid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6"/>
          <w:szCs w:val="26"/>
          <w:lang w:val="uk-UA"/>
        </w:rPr>
      </w:pPr>
    </w:p>
    <w:p w:rsidR="00033E6A" w:rsidRDefault="00033E6A" w:rsidP="00A03CFF">
      <w:pPr>
        <w:pStyle w:val="a3"/>
        <w:tabs>
          <w:tab w:val="left" w:pos="284"/>
          <w:tab w:val="left" w:pos="426"/>
        </w:tabs>
        <w:spacing w:after="0" w:line="240" w:lineRule="auto"/>
        <w:ind w:left="709" w:hanging="709"/>
        <w:jc w:val="center"/>
        <w:rPr>
          <w:rFonts w:ascii="Times New Roman" w:hAnsi="Times New Roman" w:cs="Times New Roman"/>
          <w:color w:val="000000" w:themeColor="text1"/>
          <w:sz w:val="26"/>
          <w:szCs w:val="26"/>
          <w:lang w:val="uk-UA"/>
        </w:rPr>
      </w:pPr>
    </w:p>
    <w:p w:rsidR="00033E6A" w:rsidRPr="00BB7492" w:rsidRDefault="00033E6A" w:rsidP="00BB7492">
      <w:pPr>
        <w:tabs>
          <w:tab w:val="left" w:pos="284"/>
          <w:tab w:val="left" w:pos="426"/>
        </w:tabs>
        <w:spacing w:after="0" w:line="240" w:lineRule="auto"/>
        <w:jc w:val="center"/>
        <w:rPr>
          <w:rFonts w:ascii="Times New Roman" w:hAnsi="Times New Roman" w:cs="Times New Roman"/>
          <w:b/>
          <w:color w:val="000000" w:themeColor="text1"/>
          <w:sz w:val="28"/>
          <w:szCs w:val="28"/>
          <w:lang w:val="uk-UA"/>
        </w:rPr>
      </w:pPr>
      <w:r w:rsidRPr="00BB7492">
        <w:rPr>
          <w:rFonts w:ascii="Times New Roman" w:hAnsi="Times New Roman" w:cs="Times New Roman"/>
          <w:b/>
          <w:color w:val="000000" w:themeColor="text1"/>
          <w:sz w:val="28"/>
          <w:szCs w:val="28"/>
          <w:lang w:val="uk-UA"/>
        </w:rPr>
        <w:lastRenderedPageBreak/>
        <w:t>Загальна характеристика Програми</w:t>
      </w:r>
    </w:p>
    <w:p w:rsidR="00033E6A" w:rsidRDefault="00033E6A" w:rsidP="001B60C9">
      <w:pPr>
        <w:pStyle w:val="a3"/>
        <w:tabs>
          <w:tab w:val="left" w:pos="0"/>
        </w:tabs>
        <w:spacing w:after="0" w:line="240" w:lineRule="auto"/>
        <w:ind w:left="0" w:firstLine="567"/>
        <w:jc w:val="both"/>
        <w:rPr>
          <w:rFonts w:ascii="Times New Roman" w:hAnsi="Times New Roman" w:cs="Times New Roman"/>
          <w:color w:val="000000" w:themeColor="text1"/>
          <w:sz w:val="28"/>
          <w:szCs w:val="28"/>
          <w:lang w:val="uk-UA"/>
        </w:rPr>
      </w:pPr>
      <w:r w:rsidRPr="005C2FCF">
        <w:rPr>
          <w:rFonts w:ascii="Times New Roman" w:hAnsi="Times New Roman" w:cs="Times New Roman"/>
          <w:color w:val="000000" w:themeColor="text1"/>
          <w:sz w:val="28"/>
          <w:szCs w:val="28"/>
          <w:lang w:val="uk-UA"/>
        </w:rPr>
        <w:tab/>
        <w:t>Програма</w:t>
      </w:r>
      <w:r>
        <w:rPr>
          <w:rFonts w:ascii="Times New Roman" w:hAnsi="Times New Roman" w:cs="Times New Roman"/>
          <w:color w:val="000000" w:themeColor="text1"/>
          <w:sz w:val="28"/>
          <w:szCs w:val="28"/>
          <w:lang w:val="uk-UA"/>
        </w:rPr>
        <w:t xml:space="preserve"> соціально-економічного і культурного розвитку міста Житомира на 2018 рік (далі-Програма) розроблена відповідно до Законів України «Про місцеве самоврядування в Україні», «Про державне прогнозування та розроблення програм економічного і соціального розвитку України», постанови Кабінету Міністрів України від 26.04.03 № 621 «Про розроблення прогнозних і програмних документів економічного і соціального розвитку та складання державного бюджету».</w:t>
      </w:r>
    </w:p>
    <w:p w:rsidR="00033E6A" w:rsidRDefault="00033E6A" w:rsidP="001B60C9">
      <w:pPr>
        <w:pStyle w:val="a3"/>
        <w:tabs>
          <w:tab w:val="left" w:pos="0"/>
        </w:tabs>
        <w:spacing w:after="0" w:line="240" w:lineRule="auto"/>
        <w:ind w:left="0" w:firstLine="567"/>
        <w:jc w:val="both"/>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ab/>
        <w:t xml:space="preserve">Програма розроблена на основі комплексного аналізу соціально-економічного і культурного розвитку міста </w:t>
      </w:r>
      <w:r w:rsidR="00CD4EFA">
        <w:rPr>
          <w:rFonts w:ascii="Times New Roman" w:hAnsi="Times New Roman" w:cs="Times New Roman"/>
          <w:color w:val="000000" w:themeColor="text1"/>
          <w:sz w:val="28"/>
          <w:szCs w:val="28"/>
          <w:lang w:val="uk-UA"/>
        </w:rPr>
        <w:t>за 2014-2017 роки</w:t>
      </w:r>
      <w:r>
        <w:rPr>
          <w:rFonts w:ascii="Times New Roman" w:hAnsi="Times New Roman" w:cs="Times New Roman"/>
          <w:color w:val="000000" w:themeColor="text1"/>
          <w:sz w:val="28"/>
          <w:szCs w:val="28"/>
          <w:lang w:val="uk-UA"/>
        </w:rPr>
        <w:t>, існуючих тенденцій та впливу внутрішніх і зовнішніх факторів.</w:t>
      </w:r>
    </w:p>
    <w:p w:rsidR="00033E6A" w:rsidRPr="00C421E7" w:rsidRDefault="00B56CAE" w:rsidP="001B60C9">
      <w:pPr>
        <w:pStyle w:val="a3"/>
        <w:tabs>
          <w:tab w:val="left" w:pos="0"/>
        </w:tabs>
        <w:spacing w:after="0" w:line="240" w:lineRule="auto"/>
        <w:ind w:left="0" w:firstLine="567"/>
        <w:jc w:val="both"/>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ab/>
      </w:r>
      <w:r w:rsidR="00C421E7">
        <w:rPr>
          <w:rFonts w:ascii="Times New Roman" w:hAnsi="Times New Roman" w:cs="Times New Roman"/>
          <w:color w:val="000000" w:themeColor="text1"/>
          <w:sz w:val="28"/>
          <w:szCs w:val="28"/>
          <w:lang w:val="uk-UA"/>
        </w:rPr>
        <w:t>Програма визначає основні цілі та завдання економічного і соціального розвитку міста на 2018 рік, сформована як комплекс взаємопов’</w:t>
      </w:r>
      <w:r w:rsidR="00C421E7" w:rsidRPr="00C421E7">
        <w:rPr>
          <w:rFonts w:ascii="Times New Roman" w:hAnsi="Times New Roman" w:cs="Times New Roman"/>
          <w:color w:val="000000" w:themeColor="text1"/>
          <w:sz w:val="28"/>
          <w:szCs w:val="28"/>
          <w:lang w:val="uk-UA"/>
        </w:rPr>
        <w:t>язаних та узгоджених заходів, спрямованих на досягнення поставлених цілей відповідно до визначених пріоритетів.</w:t>
      </w:r>
    </w:p>
    <w:p w:rsidR="00C421E7" w:rsidRDefault="00B56CAE" w:rsidP="001B60C9">
      <w:pPr>
        <w:pStyle w:val="a3"/>
        <w:tabs>
          <w:tab w:val="left" w:pos="0"/>
        </w:tabs>
        <w:spacing w:after="0" w:line="240" w:lineRule="auto"/>
        <w:ind w:left="0" w:firstLine="567"/>
        <w:jc w:val="both"/>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ab/>
      </w:r>
      <w:r w:rsidR="00C421E7">
        <w:rPr>
          <w:rFonts w:ascii="Times New Roman" w:hAnsi="Times New Roman" w:cs="Times New Roman"/>
          <w:color w:val="000000" w:themeColor="text1"/>
          <w:sz w:val="28"/>
          <w:szCs w:val="28"/>
          <w:lang w:val="uk-UA"/>
        </w:rPr>
        <w:t xml:space="preserve">Програма передбачає </w:t>
      </w:r>
      <w:r w:rsidR="00936FC0">
        <w:rPr>
          <w:rFonts w:ascii="Times New Roman" w:hAnsi="Times New Roman" w:cs="Times New Roman"/>
          <w:color w:val="000000" w:themeColor="text1"/>
          <w:sz w:val="28"/>
          <w:szCs w:val="28"/>
          <w:lang w:val="uk-UA"/>
        </w:rPr>
        <w:t>концентрацію ресурсів на вирішення ключових проблем розвитку міста, реалізацію перспективних проектів, економічних, соціальних та культурних заходів, виконання яких сприятиме підвищенню якості медичного обслуговування, освітніх, житлово-комунальних, транспортних послуг, подальшому поліпшенню інвестиційного клімату та активізації інноваційної діяльності.</w:t>
      </w:r>
    </w:p>
    <w:p w:rsidR="00936FC0" w:rsidRDefault="00936FC0" w:rsidP="001B60C9">
      <w:pPr>
        <w:pStyle w:val="a3"/>
        <w:tabs>
          <w:tab w:val="left" w:pos="0"/>
        </w:tabs>
        <w:spacing w:after="0" w:line="240" w:lineRule="auto"/>
        <w:ind w:left="0" w:firstLine="567"/>
        <w:jc w:val="both"/>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ab/>
        <w:t xml:space="preserve">Інструментами виконання Програми </w:t>
      </w:r>
      <w:r w:rsidR="00EE12C6">
        <w:rPr>
          <w:rFonts w:ascii="Times New Roman" w:hAnsi="Times New Roman" w:cs="Times New Roman"/>
          <w:color w:val="000000" w:themeColor="text1"/>
          <w:sz w:val="28"/>
          <w:szCs w:val="28"/>
          <w:lang w:val="uk-UA"/>
        </w:rPr>
        <w:t xml:space="preserve">є цільові галузеві програми, міжнародні інфраструктурні та інституційні проекти, що впроваджуються в місті в рамках міжнародних кредитних, грантових програм та програм </w:t>
      </w:r>
      <w:r w:rsidR="00E64652">
        <w:rPr>
          <w:rFonts w:ascii="Times New Roman" w:hAnsi="Times New Roman" w:cs="Times New Roman"/>
          <w:color w:val="000000" w:themeColor="text1"/>
          <w:sz w:val="28"/>
          <w:szCs w:val="28"/>
          <w:lang w:val="uk-UA"/>
        </w:rPr>
        <w:t xml:space="preserve"> </w:t>
      </w:r>
      <w:r w:rsidR="00EE12C6">
        <w:rPr>
          <w:rFonts w:ascii="Times New Roman" w:hAnsi="Times New Roman" w:cs="Times New Roman"/>
          <w:color w:val="000000" w:themeColor="text1"/>
          <w:sz w:val="28"/>
          <w:szCs w:val="28"/>
          <w:lang w:val="uk-UA"/>
        </w:rPr>
        <w:t>міжнародної технічної допомоги.</w:t>
      </w:r>
    </w:p>
    <w:p w:rsidR="00EE12C6" w:rsidRPr="004B6780" w:rsidRDefault="00EE12C6" w:rsidP="001B60C9">
      <w:pPr>
        <w:pStyle w:val="a3"/>
        <w:tabs>
          <w:tab w:val="left" w:pos="0"/>
        </w:tabs>
        <w:spacing w:after="0" w:line="240" w:lineRule="auto"/>
        <w:ind w:left="0" w:firstLine="567"/>
        <w:jc w:val="both"/>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ab/>
      </w:r>
      <w:r w:rsidR="004B6780">
        <w:rPr>
          <w:rFonts w:ascii="Times New Roman" w:hAnsi="Times New Roman" w:cs="Times New Roman"/>
          <w:color w:val="000000" w:themeColor="text1"/>
          <w:sz w:val="28"/>
          <w:szCs w:val="28"/>
          <w:lang w:val="uk-UA"/>
        </w:rPr>
        <w:t>Завдання і заходи Програми фінансуватимуться за рахунок коштів міського, державного та обласного бюджетів, кредитних ресурсів міжнародних фінансових організацій, коштів залучених у рамках грантових програм, проектів міжнародної технічної допомоги та власних коштів суб</w:t>
      </w:r>
      <w:r w:rsidR="004B6780" w:rsidRPr="004B6780">
        <w:rPr>
          <w:rFonts w:ascii="Times New Roman" w:hAnsi="Times New Roman" w:cs="Times New Roman"/>
          <w:color w:val="000000" w:themeColor="text1"/>
          <w:sz w:val="28"/>
          <w:szCs w:val="28"/>
          <w:lang w:val="uk-UA"/>
        </w:rPr>
        <w:t>’єктів господарювання.</w:t>
      </w:r>
    </w:p>
    <w:p w:rsidR="00CD7E99" w:rsidRDefault="004B6780" w:rsidP="001B60C9">
      <w:pPr>
        <w:pStyle w:val="a3"/>
        <w:tabs>
          <w:tab w:val="left" w:pos="0"/>
        </w:tabs>
        <w:spacing w:after="0" w:line="240" w:lineRule="auto"/>
        <w:ind w:left="0" w:firstLine="567"/>
        <w:jc w:val="both"/>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ab/>
      </w:r>
      <w:r w:rsidR="00CD7E99">
        <w:rPr>
          <w:rFonts w:ascii="Times New Roman" w:hAnsi="Times New Roman" w:cs="Times New Roman"/>
          <w:color w:val="000000" w:themeColor="text1"/>
          <w:sz w:val="28"/>
          <w:szCs w:val="28"/>
          <w:lang w:val="uk-UA"/>
        </w:rPr>
        <w:t>Прогнозні показники Програми на 2018 рік розроблені з урахуванням основних прогнозних макропоказників економічного і соціального розвитку України на 2018-2020 роки, схвалених постановою Кабінету Міністрів</w:t>
      </w:r>
      <w:r w:rsidR="003E0AC4">
        <w:rPr>
          <w:rFonts w:ascii="Times New Roman" w:hAnsi="Times New Roman" w:cs="Times New Roman"/>
          <w:color w:val="000000" w:themeColor="text1"/>
          <w:sz w:val="28"/>
          <w:szCs w:val="28"/>
          <w:lang w:val="uk-UA"/>
        </w:rPr>
        <w:t xml:space="preserve"> </w:t>
      </w:r>
      <w:r w:rsidR="00CD7E99">
        <w:rPr>
          <w:rFonts w:ascii="Times New Roman" w:hAnsi="Times New Roman" w:cs="Times New Roman"/>
          <w:color w:val="000000" w:themeColor="text1"/>
          <w:sz w:val="28"/>
          <w:szCs w:val="28"/>
          <w:lang w:val="uk-UA"/>
        </w:rPr>
        <w:t>України від 31 травня 2017 року № 411. Прогнозні показники</w:t>
      </w:r>
      <w:r w:rsidR="00A37F97">
        <w:rPr>
          <w:rFonts w:ascii="Times New Roman" w:hAnsi="Times New Roman" w:cs="Times New Roman"/>
          <w:color w:val="000000" w:themeColor="text1"/>
          <w:sz w:val="28"/>
          <w:szCs w:val="28"/>
          <w:lang w:val="uk-UA"/>
        </w:rPr>
        <w:t xml:space="preserve"> Програми можуть уточнюватися та коригуватися, з урахуванням змін до чинного законодавства України.</w:t>
      </w:r>
    </w:p>
    <w:p w:rsidR="00A37F97" w:rsidRDefault="005D0827" w:rsidP="005D0827">
      <w:pPr>
        <w:tabs>
          <w:tab w:val="left" w:pos="0"/>
        </w:tabs>
        <w:spacing w:after="0" w:line="240" w:lineRule="auto"/>
        <w:jc w:val="both"/>
        <w:rPr>
          <w:rFonts w:ascii="Times New Roman" w:hAnsi="Times New Roman" w:cs="Times New Roman"/>
          <w:color w:val="000000" w:themeColor="text1"/>
          <w:sz w:val="28"/>
          <w:szCs w:val="28"/>
          <w:lang w:val="uk-UA"/>
        </w:rPr>
      </w:pPr>
      <w:r w:rsidRPr="003E0AC4">
        <w:rPr>
          <w:rFonts w:ascii="Times New Roman" w:hAnsi="Times New Roman" w:cs="Times New Roman"/>
          <w:color w:val="000000" w:themeColor="text1"/>
          <w:sz w:val="28"/>
          <w:szCs w:val="28"/>
          <w:lang w:val="uk-UA"/>
        </w:rPr>
        <w:tab/>
      </w:r>
      <w:r>
        <w:rPr>
          <w:rFonts w:ascii="Times New Roman" w:hAnsi="Times New Roman" w:cs="Times New Roman"/>
          <w:color w:val="000000" w:themeColor="text1"/>
          <w:sz w:val="28"/>
          <w:szCs w:val="28"/>
          <w:lang w:val="uk-UA"/>
        </w:rPr>
        <w:t>У процесі реалізації Програми можуть вноситися необхідні зміни, доповнення та коригування, що затверджуються міською радою.</w:t>
      </w:r>
    </w:p>
    <w:p w:rsidR="00D931C2" w:rsidRDefault="005D0827" w:rsidP="005D0827">
      <w:pPr>
        <w:tabs>
          <w:tab w:val="left" w:pos="0"/>
        </w:tabs>
        <w:spacing w:after="0" w:line="240" w:lineRule="auto"/>
        <w:jc w:val="both"/>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ab/>
        <w:t xml:space="preserve">Головною метою Програми соціально-економічного і культурного розвитку міста Житомира на 2018 рік є </w:t>
      </w:r>
      <w:r w:rsidR="00D931C2">
        <w:rPr>
          <w:rFonts w:ascii="Times New Roman" w:hAnsi="Times New Roman" w:cs="Times New Roman"/>
          <w:color w:val="000000" w:themeColor="text1"/>
          <w:sz w:val="28"/>
          <w:szCs w:val="28"/>
          <w:lang w:val="uk-UA"/>
        </w:rPr>
        <w:t>визначення основних завдань, заходів та проектів, спрямованих на реалізацію пріоритетів та цілей інтегрованого розвитку міста до 2030 року.</w:t>
      </w:r>
    </w:p>
    <w:p w:rsidR="00B00DD6" w:rsidRDefault="005D0827" w:rsidP="005D0827">
      <w:pPr>
        <w:tabs>
          <w:tab w:val="left" w:pos="0"/>
        </w:tabs>
        <w:spacing w:after="0" w:line="240" w:lineRule="auto"/>
        <w:jc w:val="both"/>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lastRenderedPageBreak/>
        <w:tab/>
      </w:r>
      <w:r w:rsidR="00B70E95">
        <w:rPr>
          <w:rFonts w:ascii="Times New Roman" w:hAnsi="Times New Roman" w:cs="Times New Roman"/>
          <w:color w:val="000000" w:themeColor="text1"/>
          <w:sz w:val="28"/>
          <w:szCs w:val="28"/>
          <w:lang w:val="uk-UA"/>
        </w:rPr>
        <w:t xml:space="preserve">Реалізація головних завдань та заходів соціально-економічного і культурного розвитку міста у 2018 році дозволить </w:t>
      </w:r>
      <w:r w:rsidR="0063118B">
        <w:rPr>
          <w:rFonts w:ascii="Times New Roman" w:hAnsi="Times New Roman" w:cs="Times New Roman"/>
          <w:color w:val="000000" w:themeColor="text1"/>
          <w:sz w:val="28"/>
          <w:szCs w:val="28"/>
          <w:lang w:val="uk-UA"/>
        </w:rPr>
        <w:t xml:space="preserve">підвищити рівень конкурентоспроможності міста та якості життя. </w:t>
      </w:r>
    </w:p>
    <w:p w:rsidR="00961519" w:rsidRDefault="00961519" w:rsidP="005D0827">
      <w:pPr>
        <w:tabs>
          <w:tab w:val="left" w:pos="0"/>
        </w:tabs>
        <w:spacing w:after="0" w:line="240" w:lineRule="auto"/>
        <w:jc w:val="both"/>
        <w:rPr>
          <w:rFonts w:ascii="Times New Roman" w:hAnsi="Times New Roman" w:cs="Times New Roman"/>
          <w:color w:val="000000" w:themeColor="text1"/>
          <w:sz w:val="28"/>
          <w:szCs w:val="28"/>
          <w:lang w:val="uk-UA"/>
        </w:rPr>
      </w:pPr>
    </w:p>
    <w:p w:rsidR="00A25646" w:rsidRDefault="00A25646" w:rsidP="00A25646">
      <w:pPr>
        <w:spacing w:after="0" w:line="240" w:lineRule="auto"/>
        <w:rPr>
          <w:rFonts w:ascii="Times New Roman" w:hAnsi="Times New Roman" w:cs="Times New Roman"/>
          <w:b/>
          <w:sz w:val="28"/>
          <w:szCs w:val="28"/>
          <w:lang w:val="uk-UA"/>
        </w:rPr>
      </w:pPr>
      <w:r w:rsidRPr="00B57649">
        <w:rPr>
          <w:rFonts w:ascii="Times New Roman" w:hAnsi="Times New Roman" w:cs="Times New Roman"/>
          <w:b/>
          <w:sz w:val="28"/>
          <w:szCs w:val="28"/>
          <w:lang w:val="uk-UA"/>
        </w:rPr>
        <w:t>Інвестиційна діяльність</w:t>
      </w:r>
    </w:p>
    <w:p w:rsidR="00A25646" w:rsidRDefault="00A25646" w:rsidP="00A25646">
      <w:pPr>
        <w:spacing w:after="0" w:line="240" w:lineRule="auto"/>
        <w:jc w:val="both"/>
        <w:rPr>
          <w:rFonts w:ascii="Times New Roman" w:hAnsi="Times New Roman" w:cs="Times New Roman"/>
          <w:color w:val="000000"/>
          <w:sz w:val="28"/>
          <w:szCs w:val="28"/>
          <w:lang w:val="uk-UA"/>
        </w:rPr>
      </w:pPr>
      <w:r>
        <w:rPr>
          <w:rFonts w:ascii="Times New Roman" w:hAnsi="Times New Roman" w:cs="Times New Roman"/>
          <w:sz w:val="28"/>
          <w:szCs w:val="28"/>
          <w:lang w:val="uk-UA"/>
        </w:rPr>
        <w:tab/>
      </w:r>
      <w:r>
        <w:rPr>
          <w:rFonts w:ascii="Times New Roman" w:hAnsi="Times New Roman" w:cs="Times New Roman"/>
          <w:color w:val="000000"/>
          <w:sz w:val="28"/>
          <w:szCs w:val="28"/>
          <w:lang w:val="uk-UA"/>
        </w:rPr>
        <w:t>Враховуючи економічний потенціал</w:t>
      </w:r>
      <w:r w:rsidRPr="00A35E22">
        <w:rPr>
          <w:rFonts w:ascii="Times New Roman" w:hAnsi="Times New Roman" w:cs="Times New Roman"/>
          <w:color w:val="000000"/>
          <w:sz w:val="28"/>
          <w:szCs w:val="28"/>
          <w:lang w:val="uk-UA"/>
        </w:rPr>
        <w:t xml:space="preserve"> </w:t>
      </w:r>
      <w:r>
        <w:rPr>
          <w:rFonts w:ascii="Times New Roman" w:hAnsi="Times New Roman" w:cs="Times New Roman"/>
          <w:color w:val="000000"/>
          <w:sz w:val="28"/>
          <w:szCs w:val="28"/>
          <w:lang w:val="uk-UA"/>
        </w:rPr>
        <w:t>міста, міська влада докладає максимум зусиль для створення сприятливого інвестиційного клімату та залучення інвестицій.</w:t>
      </w:r>
    </w:p>
    <w:p w:rsidR="00B3005A" w:rsidRDefault="00B3005A" w:rsidP="00B3005A">
      <w:pPr>
        <w:spacing w:after="0" w:line="240" w:lineRule="auto"/>
        <w:jc w:val="both"/>
        <w:rPr>
          <w:rFonts w:ascii="Times New Roman" w:hAnsi="Times New Roman" w:cs="Times New Roman"/>
          <w:sz w:val="28"/>
          <w:szCs w:val="28"/>
          <w:lang w:val="uk-UA"/>
        </w:rPr>
      </w:pPr>
      <w:r>
        <w:rPr>
          <w:rFonts w:ascii="Times New Roman" w:hAnsi="Times New Roman" w:cs="Times New Roman"/>
          <w:color w:val="000000"/>
          <w:sz w:val="28"/>
          <w:szCs w:val="28"/>
          <w:lang w:val="uk-UA"/>
        </w:rPr>
        <w:tab/>
      </w:r>
      <w:r>
        <w:rPr>
          <w:rFonts w:ascii="Times New Roman" w:hAnsi="Times New Roman" w:cs="Times New Roman"/>
          <w:sz w:val="28"/>
          <w:szCs w:val="28"/>
          <w:lang w:val="uk-UA"/>
        </w:rPr>
        <w:t>Станом на 1 липня 2017 року загальний обсяг накопичених прямих іноземних інвестицій в місті становив 83,6 млн. дол. США, або 36,8% усіх іноземних коштів області. Порівняно з початком року відбулося збільшення іноземного капіталу на 3,5 млн. дол. США, або на 4,3% в основному за рахунок курсової різниці.</w:t>
      </w:r>
    </w:p>
    <w:p w:rsidR="00B3005A" w:rsidRDefault="00B3005A" w:rsidP="00A25646">
      <w:pPr>
        <w:spacing w:after="0" w:line="240" w:lineRule="auto"/>
        <w:jc w:val="both"/>
        <w:rPr>
          <w:rFonts w:ascii="Times New Roman" w:hAnsi="Times New Roman" w:cs="Times New Roman"/>
          <w:color w:val="000000"/>
          <w:sz w:val="28"/>
          <w:szCs w:val="28"/>
          <w:lang w:val="uk-UA"/>
        </w:rPr>
      </w:pPr>
    </w:p>
    <w:p w:rsidR="00A25646" w:rsidRPr="00A35E22" w:rsidRDefault="00A25646" w:rsidP="00B3005A">
      <w:pPr>
        <w:spacing w:after="0" w:line="240" w:lineRule="auto"/>
        <w:jc w:val="center"/>
        <w:rPr>
          <w:rFonts w:ascii="Times New Roman" w:hAnsi="Times New Roman" w:cs="Times New Roman"/>
          <w:sz w:val="28"/>
          <w:szCs w:val="28"/>
          <w:lang w:val="uk-UA"/>
        </w:rPr>
      </w:pPr>
      <w:r>
        <w:rPr>
          <w:noProof/>
          <w:lang w:eastAsia="ru-RU"/>
        </w:rPr>
        <w:drawing>
          <wp:inline distT="0" distB="0" distL="0" distR="0">
            <wp:extent cx="3746500" cy="1885950"/>
            <wp:effectExtent l="19050" t="0" r="635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C95A31" w:rsidRDefault="00C95A31" w:rsidP="00C95A31">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У розрахунку на одного мешканця міста припадало 314,2 дол. США прямих інвестицій проти 182,7 дол. США по області. </w:t>
      </w:r>
    </w:p>
    <w:p w:rsidR="00A25646" w:rsidRDefault="00A25646" w:rsidP="00A25646">
      <w:pPr>
        <w:spacing w:after="0" w:line="240" w:lineRule="auto"/>
        <w:jc w:val="both"/>
        <w:rPr>
          <w:rFonts w:ascii="Times New Roman" w:hAnsi="Times New Roman" w:cs="Times New Roman"/>
          <w:sz w:val="28"/>
          <w:szCs w:val="28"/>
          <w:lang w:val="uk-UA"/>
        </w:rPr>
      </w:pPr>
    </w:p>
    <w:p w:rsidR="00A25646" w:rsidRDefault="00A25646" w:rsidP="00C95A31">
      <w:pPr>
        <w:spacing w:after="0" w:line="240" w:lineRule="auto"/>
        <w:jc w:val="center"/>
        <w:rPr>
          <w:rFonts w:ascii="Times New Roman" w:hAnsi="Times New Roman" w:cs="Times New Roman"/>
          <w:sz w:val="28"/>
          <w:szCs w:val="28"/>
          <w:lang w:val="uk-UA"/>
        </w:rPr>
      </w:pPr>
      <w:r>
        <w:rPr>
          <w:noProof/>
          <w:lang w:eastAsia="ru-RU"/>
        </w:rPr>
        <w:drawing>
          <wp:inline distT="0" distB="0" distL="0" distR="0">
            <wp:extent cx="3676650" cy="2247900"/>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C95A31" w:rsidRDefault="00C95A31" w:rsidP="00C95A31">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Інвестиції надходили з 33 країн світу. Найбільші вкладення – 73,5 млн. дол. США, або 87,9% обсягу інвестицій у місто здійснені нерезидентами з Нідерландів, Кіпру, Швейцарії, Віргінських островів, Італії та Польщі.</w:t>
      </w:r>
    </w:p>
    <w:p w:rsidR="00A25646" w:rsidRDefault="00A25646" w:rsidP="00C95A31">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 інвестиційному співробітництві </w:t>
      </w:r>
      <w:r w:rsidR="00F61F02">
        <w:rPr>
          <w:rFonts w:ascii="Times New Roman" w:hAnsi="Times New Roman" w:cs="Times New Roman"/>
          <w:sz w:val="28"/>
          <w:szCs w:val="28"/>
          <w:lang w:val="uk-UA"/>
        </w:rPr>
        <w:t>брали</w:t>
      </w:r>
      <w:r>
        <w:rPr>
          <w:rFonts w:ascii="Times New Roman" w:hAnsi="Times New Roman" w:cs="Times New Roman"/>
          <w:sz w:val="28"/>
          <w:szCs w:val="28"/>
          <w:lang w:val="uk-UA"/>
        </w:rPr>
        <w:t xml:space="preserve"> участь 115 підприємств міста.</w:t>
      </w:r>
    </w:p>
    <w:p w:rsidR="00C95A31" w:rsidRDefault="00C95A31" w:rsidP="003D76F7">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Найбільший обсяг інвестицій вкладено у промисловість – 63,8 млн. дол. США, або 76,3% всіх інвестицій, 8,0 млн. дол. – у підприємства, що </w:t>
      </w:r>
      <w:r>
        <w:rPr>
          <w:rFonts w:ascii="Times New Roman" w:hAnsi="Times New Roman" w:cs="Times New Roman"/>
          <w:sz w:val="28"/>
          <w:szCs w:val="28"/>
          <w:lang w:val="uk-UA"/>
        </w:rPr>
        <w:lastRenderedPageBreak/>
        <w:t>здійснюють операції з нерухомим майном (9,6%), 5,3 млн. дол. – у будівельну галузь (6,4%) та 2,4 млн. дол. – у підприємства, що здійснюють торгівлю та ремонт автотранспортних засобів (2,8%).</w:t>
      </w:r>
    </w:p>
    <w:p w:rsidR="00C95A31" w:rsidRDefault="00C95A31" w:rsidP="00C95A31">
      <w:pPr>
        <w:spacing w:after="0" w:line="240" w:lineRule="auto"/>
        <w:ind w:firstLine="567"/>
        <w:jc w:val="both"/>
        <w:rPr>
          <w:rFonts w:ascii="Times New Roman" w:hAnsi="Times New Roman" w:cs="Times New Roman"/>
          <w:sz w:val="28"/>
          <w:szCs w:val="28"/>
          <w:lang w:val="uk-UA"/>
        </w:rPr>
      </w:pPr>
    </w:p>
    <w:p w:rsidR="00C95A31" w:rsidRDefault="00A25646" w:rsidP="00C95A31">
      <w:pPr>
        <w:spacing w:after="0" w:line="240" w:lineRule="auto"/>
        <w:jc w:val="center"/>
        <w:rPr>
          <w:rFonts w:ascii="Times New Roman" w:hAnsi="Times New Roman" w:cs="Times New Roman"/>
          <w:sz w:val="28"/>
          <w:szCs w:val="28"/>
          <w:lang w:val="uk-UA"/>
        </w:rPr>
      </w:pPr>
      <w:r>
        <w:rPr>
          <w:noProof/>
          <w:lang w:eastAsia="ru-RU"/>
        </w:rPr>
        <w:drawing>
          <wp:inline distT="0" distB="0" distL="0" distR="0">
            <wp:extent cx="3613150" cy="1993900"/>
            <wp:effectExtent l="19050" t="0" r="635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C95A31" w:rsidRDefault="00C95A31" w:rsidP="00A25646">
      <w:pPr>
        <w:spacing w:after="0" w:line="240" w:lineRule="auto"/>
        <w:jc w:val="both"/>
        <w:rPr>
          <w:rFonts w:ascii="Times New Roman" w:hAnsi="Times New Roman" w:cs="Times New Roman"/>
          <w:sz w:val="28"/>
          <w:szCs w:val="28"/>
          <w:lang w:val="uk-UA"/>
        </w:rPr>
      </w:pPr>
    </w:p>
    <w:p w:rsidR="00A25646" w:rsidRDefault="00A25646" w:rsidP="003D76F7">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У сфері капітальних інвестицій вже декілька років поспіль спостерігається позитивна динаміка.</w:t>
      </w:r>
    </w:p>
    <w:p w:rsidR="00A25646" w:rsidRDefault="00A25646" w:rsidP="00A25646">
      <w:pPr>
        <w:spacing w:after="0" w:line="240" w:lineRule="auto"/>
        <w:ind w:firstLine="708"/>
        <w:jc w:val="center"/>
        <w:rPr>
          <w:rFonts w:ascii="Times New Roman" w:hAnsi="Times New Roman" w:cs="Times New Roman"/>
          <w:sz w:val="28"/>
          <w:szCs w:val="28"/>
          <w:lang w:val="uk-UA"/>
        </w:rPr>
      </w:pPr>
      <w:r>
        <w:rPr>
          <w:noProof/>
          <w:lang w:eastAsia="ru-RU"/>
        </w:rPr>
        <w:drawing>
          <wp:inline distT="0" distB="0" distL="0" distR="0">
            <wp:extent cx="3721100" cy="2178050"/>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A25646" w:rsidRDefault="00A25646" w:rsidP="00A25646">
      <w:pPr>
        <w:spacing w:after="0" w:line="240" w:lineRule="auto"/>
        <w:ind w:firstLine="708"/>
        <w:jc w:val="both"/>
        <w:rPr>
          <w:rFonts w:ascii="Times New Roman" w:hAnsi="Times New Roman" w:cs="Times New Roman"/>
          <w:sz w:val="28"/>
          <w:szCs w:val="28"/>
          <w:lang w:val="uk-UA"/>
        </w:rPr>
      </w:pPr>
    </w:p>
    <w:p w:rsidR="00A25646" w:rsidRDefault="00A25646" w:rsidP="003D76F7">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У </w:t>
      </w:r>
      <w:r>
        <w:rPr>
          <w:rFonts w:ascii="Times New Roman" w:hAnsi="Times New Roman" w:cs="Times New Roman"/>
          <w:sz w:val="28"/>
          <w:szCs w:val="28"/>
          <w:lang w:val="en-US"/>
        </w:rPr>
        <w:t>I</w:t>
      </w:r>
      <w:r w:rsidRPr="00B57649">
        <w:rPr>
          <w:rFonts w:ascii="Times New Roman" w:hAnsi="Times New Roman" w:cs="Times New Roman"/>
          <w:sz w:val="28"/>
          <w:szCs w:val="28"/>
          <w:lang w:val="uk-UA"/>
        </w:rPr>
        <w:t xml:space="preserve"> </w:t>
      </w:r>
      <w:r>
        <w:rPr>
          <w:rFonts w:ascii="Times New Roman" w:hAnsi="Times New Roman" w:cs="Times New Roman"/>
          <w:sz w:val="28"/>
          <w:szCs w:val="28"/>
          <w:lang w:val="uk-UA"/>
        </w:rPr>
        <w:t>півріччі 2017 року підприємствами та організаціями міста освоєно 751,3 млн. грн. капітальних інвестицій, що складає 30,5% обласного обсягу.</w:t>
      </w:r>
    </w:p>
    <w:p w:rsidR="00A25646" w:rsidRDefault="00A25646" w:rsidP="003D76F7">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Переважна більшість капітальних інвестицій використана за рахунок власних коштів підприємств та організацій – 544,0 млн. грн., або 72,5% загального обсягу. Частка бюджетних коштів складає 10,6%.</w:t>
      </w:r>
    </w:p>
    <w:p w:rsidR="00A25646" w:rsidRDefault="00A25646" w:rsidP="003D76F7">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У розрахунку на одну особу освоєно 2822,1 грн. капітальних інвестицій проти 1980,3 грн. у середньому по області.</w:t>
      </w:r>
    </w:p>
    <w:p w:rsidR="00A25646" w:rsidRDefault="00A25646" w:rsidP="00A25646">
      <w:pPr>
        <w:spacing w:after="0" w:line="240" w:lineRule="auto"/>
        <w:ind w:firstLine="708"/>
        <w:jc w:val="both"/>
        <w:rPr>
          <w:rFonts w:ascii="Times New Roman" w:hAnsi="Times New Roman" w:cs="Times New Roman"/>
          <w:sz w:val="28"/>
          <w:szCs w:val="28"/>
          <w:lang w:val="uk-UA"/>
        </w:rPr>
      </w:pPr>
    </w:p>
    <w:p w:rsidR="00A25646" w:rsidRPr="008D27AB" w:rsidRDefault="00A25646" w:rsidP="00A25646">
      <w:pPr>
        <w:spacing w:after="0" w:line="240" w:lineRule="auto"/>
        <w:jc w:val="both"/>
        <w:rPr>
          <w:rFonts w:ascii="Times New Roman" w:hAnsi="Times New Roman" w:cs="Times New Roman"/>
          <w:b/>
          <w:sz w:val="28"/>
          <w:szCs w:val="28"/>
          <w:lang w:val="uk-UA"/>
        </w:rPr>
      </w:pPr>
      <w:r w:rsidRPr="008D27AB">
        <w:rPr>
          <w:rFonts w:ascii="Times New Roman" w:hAnsi="Times New Roman" w:cs="Times New Roman"/>
          <w:b/>
          <w:sz w:val="28"/>
          <w:szCs w:val="28"/>
          <w:lang w:val="uk-UA"/>
        </w:rPr>
        <w:t>Зовнішньоекономічна діяльність</w:t>
      </w:r>
    </w:p>
    <w:p w:rsidR="00A25646" w:rsidRDefault="00A25646" w:rsidP="003D76F7">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ab/>
        <w:t>За 6 місяців 2017 року експорт товарів становив 78,8 млн. дол. США, імпорт – 61,0 млн. дол. США. Порівняно з відповідним періодом 2016 року, експорт збільшився на 20,6%, імпорт на 14,5%. Позитивне сальдо зовнішньої торгівлі т</w:t>
      </w:r>
      <w:r w:rsidR="00C532E1">
        <w:rPr>
          <w:rFonts w:ascii="Times New Roman" w:hAnsi="Times New Roman" w:cs="Times New Roman"/>
          <w:sz w:val="28"/>
          <w:szCs w:val="28"/>
          <w:lang w:val="uk-UA"/>
        </w:rPr>
        <w:t>оварами становило 17,8 млн. дол</w:t>
      </w:r>
      <w:r>
        <w:rPr>
          <w:rFonts w:ascii="Times New Roman" w:hAnsi="Times New Roman" w:cs="Times New Roman"/>
          <w:sz w:val="28"/>
          <w:szCs w:val="28"/>
          <w:lang w:val="uk-UA"/>
        </w:rPr>
        <w:t>. США.</w:t>
      </w:r>
    </w:p>
    <w:p w:rsidR="00A25646" w:rsidRDefault="00A25646" w:rsidP="00A25646">
      <w:pPr>
        <w:spacing w:after="0" w:line="240" w:lineRule="auto"/>
        <w:jc w:val="center"/>
        <w:rPr>
          <w:rFonts w:ascii="Times New Roman" w:hAnsi="Times New Roman" w:cs="Times New Roman"/>
          <w:sz w:val="28"/>
          <w:szCs w:val="28"/>
          <w:lang w:val="uk-UA"/>
        </w:rPr>
      </w:pPr>
      <w:r>
        <w:rPr>
          <w:noProof/>
          <w:lang w:eastAsia="ru-RU"/>
        </w:rPr>
        <w:lastRenderedPageBreak/>
        <w:drawing>
          <wp:inline distT="0" distB="0" distL="0" distR="0">
            <wp:extent cx="4314825" cy="2257425"/>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A25646" w:rsidRDefault="00A25646" w:rsidP="00A25646">
      <w:pPr>
        <w:spacing w:after="0" w:line="240" w:lineRule="auto"/>
        <w:jc w:val="center"/>
        <w:rPr>
          <w:rFonts w:ascii="Times New Roman" w:hAnsi="Times New Roman" w:cs="Times New Roman"/>
          <w:sz w:val="28"/>
          <w:szCs w:val="28"/>
          <w:lang w:val="uk-UA"/>
        </w:rPr>
      </w:pPr>
    </w:p>
    <w:p w:rsidR="00A25646" w:rsidRDefault="00A25646" w:rsidP="003D76F7">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Зовнішньоторговельні операції здійснювалися із партнерами із 85 країн світу.</w:t>
      </w:r>
    </w:p>
    <w:p w:rsidR="00A25646" w:rsidRDefault="00A25646" w:rsidP="003D76F7">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Товари експортувались до Білорусі – 20,4% загального обсягу експорту, Польщі – 19,3%, Італії – 14,0% та Німеччини – 6,5%.</w:t>
      </w:r>
    </w:p>
    <w:p w:rsidR="00130E9C" w:rsidRDefault="00130E9C" w:rsidP="003D76F7">
      <w:pPr>
        <w:spacing w:after="0" w:line="240" w:lineRule="auto"/>
        <w:ind w:firstLine="567"/>
        <w:jc w:val="both"/>
        <w:rPr>
          <w:rFonts w:ascii="Times New Roman" w:hAnsi="Times New Roman" w:cs="Times New Roman"/>
          <w:sz w:val="28"/>
          <w:szCs w:val="28"/>
          <w:lang w:val="uk-UA"/>
        </w:rPr>
      </w:pPr>
    </w:p>
    <w:p w:rsidR="00A25646" w:rsidRDefault="00A25646" w:rsidP="00916937">
      <w:pPr>
        <w:spacing w:after="0" w:line="240" w:lineRule="auto"/>
        <w:jc w:val="center"/>
        <w:rPr>
          <w:rFonts w:ascii="Times New Roman" w:hAnsi="Times New Roman" w:cs="Times New Roman"/>
          <w:sz w:val="28"/>
          <w:szCs w:val="28"/>
          <w:lang w:val="uk-UA"/>
        </w:rPr>
      </w:pPr>
      <w:r>
        <w:rPr>
          <w:noProof/>
          <w:lang w:eastAsia="ru-RU"/>
        </w:rPr>
        <w:drawing>
          <wp:inline distT="0" distB="0" distL="0" distR="0">
            <wp:extent cx="4210050" cy="2657475"/>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A25646" w:rsidRDefault="00A25646" w:rsidP="00A25646">
      <w:pPr>
        <w:spacing w:after="0" w:line="240" w:lineRule="auto"/>
        <w:ind w:firstLine="708"/>
        <w:jc w:val="center"/>
        <w:rPr>
          <w:rFonts w:ascii="Times New Roman" w:hAnsi="Times New Roman" w:cs="Times New Roman"/>
          <w:sz w:val="28"/>
          <w:szCs w:val="28"/>
          <w:lang w:val="uk-UA"/>
        </w:rPr>
      </w:pPr>
    </w:p>
    <w:p w:rsidR="00A25646" w:rsidRDefault="00A25646" w:rsidP="003D76F7">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Імпорт товарів із Італії становив 13,7% загального обсягу імпорту, Німеччини – 13,4%, Польщі – 12,5%, Білорусі – 8,7%, Китаю – 7,6%, Чехії – 7,0%.</w:t>
      </w:r>
    </w:p>
    <w:p w:rsidR="001B7A39" w:rsidRDefault="001B7A39" w:rsidP="00A25646">
      <w:pPr>
        <w:spacing w:after="0" w:line="240" w:lineRule="auto"/>
        <w:ind w:firstLine="708"/>
        <w:jc w:val="center"/>
        <w:rPr>
          <w:rFonts w:ascii="Times New Roman" w:hAnsi="Times New Roman" w:cs="Times New Roman"/>
          <w:sz w:val="28"/>
          <w:szCs w:val="28"/>
          <w:lang w:val="uk-UA"/>
        </w:rPr>
      </w:pPr>
    </w:p>
    <w:p w:rsidR="00A25646" w:rsidRDefault="00A25646" w:rsidP="00A25646">
      <w:pPr>
        <w:spacing w:after="0" w:line="240" w:lineRule="auto"/>
        <w:ind w:firstLine="708"/>
        <w:jc w:val="center"/>
        <w:rPr>
          <w:rFonts w:ascii="Times New Roman" w:hAnsi="Times New Roman" w:cs="Times New Roman"/>
          <w:sz w:val="28"/>
          <w:szCs w:val="28"/>
          <w:lang w:val="uk-UA"/>
        </w:rPr>
      </w:pPr>
      <w:r>
        <w:rPr>
          <w:noProof/>
          <w:lang w:eastAsia="ru-RU"/>
        </w:rPr>
        <w:lastRenderedPageBreak/>
        <w:drawing>
          <wp:inline distT="0" distB="0" distL="0" distR="0">
            <wp:extent cx="4406900" cy="2546350"/>
            <wp:effectExtent l="0" t="0" r="0" b="6350"/>
            <wp:docPr id="19"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A25646" w:rsidRDefault="00A25646" w:rsidP="00A25646">
      <w:pPr>
        <w:spacing w:after="0" w:line="240" w:lineRule="auto"/>
        <w:ind w:firstLine="708"/>
        <w:jc w:val="both"/>
        <w:rPr>
          <w:rFonts w:ascii="Times New Roman" w:hAnsi="Times New Roman" w:cs="Times New Roman"/>
          <w:sz w:val="28"/>
          <w:szCs w:val="28"/>
          <w:lang w:val="uk-UA"/>
        </w:rPr>
      </w:pPr>
    </w:p>
    <w:p w:rsidR="00A25646" w:rsidRDefault="00A25646" w:rsidP="003D76F7">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Основною причиною збільшення імпортних поставок є необхідність закупівлі підприємствами міста різних видів комплектуючих та обладнання для виробництва.</w:t>
      </w:r>
    </w:p>
    <w:p w:rsidR="00A25646" w:rsidRDefault="00A25646" w:rsidP="00FA4454">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Невирішеними залишаються наступні проблеми:</w:t>
      </w:r>
    </w:p>
    <w:p w:rsidR="00A25646" w:rsidRDefault="00A25646" w:rsidP="00FA4454">
      <w:pPr>
        <w:pStyle w:val="a3"/>
        <w:numPr>
          <w:ilvl w:val="0"/>
          <w:numId w:val="10"/>
        </w:numPr>
        <w:spacing w:after="0" w:line="240" w:lineRule="auto"/>
        <w:ind w:left="1134" w:hanging="425"/>
        <w:jc w:val="both"/>
        <w:rPr>
          <w:rFonts w:ascii="Times New Roman" w:hAnsi="Times New Roman" w:cs="Times New Roman"/>
          <w:sz w:val="28"/>
          <w:szCs w:val="28"/>
          <w:lang w:val="uk-UA"/>
        </w:rPr>
      </w:pPr>
      <w:r>
        <w:rPr>
          <w:rFonts w:ascii="Times New Roman" w:hAnsi="Times New Roman" w:cs="Times New Roman"/>
          <w:sz w:val="28"/>
          <w:szCs w:val="28"/>
          <w:lang w:val="uk-UA"/>
        </w:rPr>
        <w:t>обмежена кількість вільних земельних ділянок для реалізації інвестиційних проектів;</w:t>
      </w:r>
    </w:p>
    <w:p w:rsidR="00A25646" w:rsidRDefault="00A25646" w:rsidP="00FA4454">
      <w:pPr>
        <w:pStyle w:val="a3"/>
        <w:numPr>
          <w:ilvl w:val="0"/>
          <w:numId w:val="10"/>
        </w:numPr>
        <w:spacing w:after="0" w:line="240" w:lineRule="auto"/>
        <w:ind w:left="1134" w:hanging="425"/>
        <w:jc w:val="both"/>
        <w:rPr>
          <w:rFonts w:ascii="Times New Roman" w:hAnsi="Times New Roman" w:cs="Times New Roman"/>
          <w:sz w:val="28"/>
          <w:szCs w:val="28"/>
          <w:lang w:val="uk-UA"/>
        </w:rPr>
      </w:pPr>
      <w:r>
        <w:rPr>
          <w:rFonts w:ascii="Times New Roman" w:hAnsi="Times New Roman" w:cs="Times New Roman"/>
          <w:sz w:val="28"/>
          <w:szCs w:val="28"/>
          <w:lang w:val="uk-UA"/>
        </w:rPr>
        <w:t>дисбаланс попиту та пропозиції на робочу силу за робітничими професіями;</w:t>
      </w:r>
    </w:p>
    <w:p w:rsidR="00A25646" w:rsidRDefault="00A25646" w:rsidP="00FA4454">
      <w:pPr>
        <w:pStyle w:val="a3"/>
        <w:numPr>
          <w:ilvl w:val="0"/>
          <w:numId w:val="10"/>
        </w:numPr>
        <w:spacing w:after="0" w:line="240" w:lineRule="auto"/>
        <w:ind w:left="1134" w:hanging="425"/>
        <w:jc w:val="both"/>
        <w:rPr>
          <w:rFonts w:ascii="Times New Roman" w:hAnsi="Times New Roman" w:cs="Times New Roman"/>
          <w:sz w:val="28"/>
          <w:szCs w:val="28"/>
          <w:lang w:val="uk-UA"/>
        </w:rPr>
      </w:pPr>
      <w:r>
        <w:rPr>
          <w:rFonts w:ascii="Times New Roman" w:hAnsi="Times New Roman" w:cs="Times New Roman"/>
          <w:sz w:val="28"/>
          <w:szCs w:val="28"/>
          <w:lang w:val="uk-UA"/>
        </w:rPr>
        <w:t>високий рівень трудової міграції населення міста до Києва та за кордон;</w:t>
      </w:r>
    </w:p>
    <w:p w:rsidR="00A25646" w:rsidRDefault="00A25646" w:rsidP="00FA4454">
      <w:pPr>
        <w:pStyle w:val="a3"/>
        <w:numPr>
          <w:ilvl w:val="0"/>
          <w:numId w:val="10"/>
        </w:numPr>
        <w:spacing w:after="0" w:line="240" w:lineRule="auto"/>
        <w:ind w:left="1134" w:hanging="425"/>
        <w:jc w:val="both"/>
        <w:rPr>
          <w:rFonts w:ascii="Times New Roman" w:hAnsi="Times New Roman" w:cs="Times New Roman"/>
          <w:sz w:val="28"/>
          <w:szCs w:val="28"/>
          <w:lang w:val="uk-UA"/>
        </w:rPr>
      </w:pPr>
      <w:r>
        <w:rPr>
          <w:rFonts w:ascii="Times New Roman" w:hAnsi="Times New Roman" w:cs="Times New Roman"/>
          <w:sz w:val="28"/>
          <w:szCs w:val="28"/>
          <w:lang w:val="uk-UA"/>
        </w:rPr>
        <w:t>недостатня конкурентоспроможність економіки міста на міжнародних ринках;</w:t>
      </w:r>
    </w:p>
    <w:p w:rsidR="00A25646" w:rsidRDefault="00A25646" w:rsidP="00FA4454">
      <w:pPr>
        <w:pStyle w:val="a3"/>
        <w:numPr>
          <w:ilvl w:val="0"/>
          <w:numId w:val="10"/>
        </w:numPr>
        <w:spacing w:after="0" w:line="240" w:lineRule="auto"/>
        <w:ind w:left="1134" w:hanging="425"/>
        <w:jc w:val="both"/>
        <w:rPr>
          <w:rFonts w:ascii="Times New Roman" w:hAnsi="Times New Roman" w:cs="Times New Roman"/>
          <w:sz w:val="28"/>
          <w:szCs w:val="28"/>
          <w:lang w:val="uk-UA"/>
        </w:rPr>
      </w:pPr>
      <w:r>
        <w:rPr>
          <w:rFonts w:ascii="Times New Roman" w:hAnsi="Times New Roman" w:cs="Times New Roman"/>
          <w:sz w:val="28"/>
          <w:szCs w:val="28"/>
          <w:lang w:val="uk-UA"/>
        </w:rPr>
        <w:t>складність процедур відведення та надання земельних ділянок інвесторам для здійснення господарської діяльності;</w:t>
      </w:r>
    </w:p>
    <w:p w:rsidR="00A25646" w:rsidRDefault="00F91CE5" w:rsidP="00FA4454">
      <w:pPr>
        <w:pStyle w:val="a3"/>
        <w:numPr>
          <w:ilvl w:val="0"/>
          <w:numId w:val="10"/>
        </w:numPr>
        <w:spacing w:after="0" w:line="240" w:lineRule="auto"/>
        <w:ind w:left="1134" w:hanging="425"/>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недосконала система </w:t>
      </w:r>
      <w:r w:rsidR="00A25646">
        <w:rPr>
          <w:rFonts w:ascii="Times New Roman" w:hAnsi="Times New Roman" w:cs="Times New Roman"/>
          <w:sz w:val="28"/>
          <w:szCs w:val="28"/>
          <w:lang w:val="uk-UA"/>
        </w:rPr>
        <w:t xml:space="preserve"> супроводу інвестиційн</w:t>
      </w:r>
      <w:r w:rsidR="00814C6E">
        <w:rPr>
          <w:rFonts w:ascii="Times New Roman" w:hAnsi="Times New Roman" w:cs="Times New Roman"/>
          <w:sz w:val="28"/>
          <w:szCs w:val="28"/>
          <w:lang w:val="uk-UA"/>
        </w:rPr>
        <w:t>их проектів</w:t>
      </w:r>
      <w:r w:rsidR="00A25646">
        <w:rPr>
          <w:rFonts w:ascii="Times New Roman" w:hAnsi="Times New Roman" w:cs="Times New Roman"/>
          <w:sz w:val="28"/>
          <w:szCs w:val="28"/>
          <w:lang w:val="uk-UA"/>
        </w:rPr>
        <w:t>.</w:t>
      </w:r>
    </w:p>
    <w:p w:rsidR="00A25646" w:rsidRDefault="00A25646" w:rsidP="00FA4454">
      <w:pPr>
        <w:pStyle w:val="a3"/>
        <w:spacing w:after="0" w:line="240" w:lineRule="auto"/>
        <w:ind w:left="1134" w:hanging="425"/>
        <w:jc w:val="both"/>
        <w:rPr>
          <w:rFonts w:ascii="Times New Roman" w:hAnsi="Times New Roman" w:cs="Times New Roman"/>
          <w:sz w:val="28"/>
          <w:szCs w:val="28"/>
          <w:lang w:val="uk-UA"/>
        </w:rPr>
      </w:pPr>
    </w:p>
    <w:p w:rsidR="00A25646" w:rsidRPr="0096191D" w:rsidRDefault="00A25646" w:rsidP="00A25646">
      <w:pPr>
        <w:spacing w:after="0" w:line="240" w:lineRule="auto"/>
        <w:jc w:val="both"/>
        <w:rPr>
          <w:rFonts w:ascii="Times New Roman" w:hAnsi="Times New Roman" w:cs="Times New Roman"/>
          <w:b/>
          <w:sz w:val="28"/>
          <w:szCs w:val="28"/>
          <w:lang w:val="uk-UA"/>
        </w:rPr>
      </w:pPr>
      <w:r w:rsidRPr="0096191D">
        <w:rPr>
          <w:rFonts w:ascii="Times New Roman" w:hAnsi="Times New Roman" w:cs="Times New Roman"/>
          <w:b/>
          <w:sz w:val="28"/>
          <w:szCs w:val="28"/>
          <w:lang w:val="uk-UA"/>
        </w:rPr>
        <w:t>Розвиток малого і середнього підприємництва</w:t>
      </w:r>
    </w:p>
    <w:p w:rsidR="00A25646" w:rsidRPr="00EC5B84" w:rsidRDefault="00A25646" w:rsidP="00FA4454">
      <w:pPr>
        <w:spacing w:after="0" w:line="240" w:lineRule="auto"/>
        <w:ind w:firstLine="567"/>
        <w:jc w:val="both"/>
        <w:rPr>
          <w:rFonts w:ascii="Times New Roman" w:hAnsi="Times New Roman" w:cs="Times New Roman"/>
          <w:color w:val="000000"/>
          <w:sz w:val="28"/>
          <w:szCs w:val="28"/>
          <w:lang w:val="uk-UA"/>
        </w:rPr>
      </w:pPr>
      <w:r w:rsidRPr="00EC5B84">
        <w:rPr>
          <w:rFonts w:ascii="Times New Roman" w:hAnsi="Times New Roman" w:cs="Times New Roman"/>
          <w:color w:val="000000"/>
          <w:sz w:val="28"/>
          <w:szCs w:val="28"/>
          <w:lang w:val="uk-UA"/>
        </w:rPr>
        <w:t>Розвиток малого і середнього підприємництва – це один із основних пріоритетів економічного розвитку міста, що є вагомим джерелом наповнення доходної частини міського бюджету, створення нових робочих місць, надходження інвестицій в економіку.</w:t>
      </w:r>
    </w:p>
    <w:p w:rsidR="00A25646" w:rsidRDefault="00A25646" w:rsidP="00FA4454">
      <w:pPr>
        <w:spacing w:after="0" w:line="240" w:lineRule="auto"/>
        <w:ind w:firstLine="567"/>
        <w:jc w:val="both"/>
        <w:rPr>
          <w:rFonts w:ascii="Times New Roman" w:hAnsi="Times New Roman" w:cs="Times New Roman"/>
          <w:b/>
          <w:i/>
          <w:color w:val="000000"/>
          <w:sz w:val="28"/>
          <w:szCs w:val="28"/>
          <w:lang w:val="uk-UA"/>
        </w:rPr>
      </w:pPr>
      <w:r>
        <w:rPr>
          <w:rFonts w:ascii="Times New Roman" w:hAnsi="Times New Roman" w:cs="Times New Roman"/>
          <w:color w:val="000000"/>
          <w:sz w:val="28"/>
          <w:szCs w:val="28"/>
          <w:lang w:val="uk-UA"/>
        </w:rPr>
        <w:t>У місті</w:t>
      </w:r>
      <w:r w:rsidRPr="00EC5B84">
        <w:rPr>
          <w:rFonts w:ascii="Times New Roman" w:hAnsi="Times New Roman" w:cs="Times New Roman"/>
          <w:color w:val="000000"/>
          <w:sz w:val="28"/>
          <w:szCs w:val="28"/>
          <w:lang w:val="uk-UA"/>
        </w:rPr>
        <w:t xml:space="preserve"> здійснюють господарську діяльність </w:t>
      </w:r>
      <w:r>
        <w:rPr>
          <w:rFonts w:ascii="Times New Roman" w:hAnsi="Times New Roman" w:cs="Times New Roman"/>
          <w:color w:val="000000"/>
          <w:sz w:val="28"/>
          <w:szCs w:val="28"/>
          <w:lang w:val="uk-UA"/>
        </w:rPr>
        <w:t xml:space="preserve">2297 підприємств, з них 2 великих, </w:t>
      </w:r>
      <w:r w:rsidRPr="00EC5B84">
        <w:rPr>
          <w:rFonts w:ascii="Times New Roman" w:hAnsi="Times New Roman" w:cs="Times New Roman"/>
          <w:color w:val="000000"/>
          <w:sz w:val="28"/>
          <w:szCs w:val="28"/>
          <w:lang w:val="uk-UA"/>
        </w:rPr>
        <w:t xml:space="preserve">121 середнє підприємство, 2174 малих підприємств та 26285 фізичних осіб-підприємців. </w:t>
      </w:r>
    </w:p>
    <w:p w:rsidR="00A25646" w:rsidRDefault="00A25646" w:rsidP="00A25646">
      <w:pPr>
        <w:spacing w:after="0" w:line="240" w:lineRule="auto"/>
        <w:ind w:firstLine="709"/>
        <w:jc w:val="both"/>
        <w:rPr>
          <w:rFonts w:ascii="Times New Roman" w:hAnsi="Times New Roman" w:cs="Times New Roman"/>
          <w:b/>
          <w:i/>
          <w:color w:val="000000"/>
          <w:sz w:val="28"/>
          <w:szCs w:val="28"/>
          <w:lang w:val="uk-UA"/>
        </w:rPr>
      </w:pPr>
    </w:p>
    <w:p w:rsidR="00A25646" w:rsidRDefault="00A25646" w:rsidP="00540087">
      <w:pPr>
        <w:spacing w:after="0" w:line="240" w:lineRule="auto"/>
        <w:ind w:hanging="567"/>
        <w:jc w:val="both"/>
        <w:rPr>
          <w:rFonts w:ascii="Times New Roman" w:hAnsi="Times New Roman" w:cs="Times New Roman"/>
          <w:color w:val="000000"/>
          <w:sz w:val="28"/>
          <w:szCs w:val="28"/>
          <w:lang w:val="uk-UA"/>
        </w:rPr>
      </w:pPr>
      <w:r>
        <w:rPr>
          <w:noProof/>
          <w:lang w:eastAsia="ru-RU"/>
        </w:rPr>
        <w:lastRenderedPageBreak/>
        <w:drawing>
          <wp:inline distT="0" distB="0" distL="0" distR="0">
            <wp:extent cx="3041650" cy="1619250"/>
            <wp:effectExtent l="0" t="0" r="6350" b="0"/>
            <wp:docPr id="21"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Pr>
          <w:noProof/>
          <w:lang w:eastAsia="ru-RU"/>
        </w:rPr>
        <w:drawing>
          <wp:inline distT="0" distB="0" distL="0" distR="0">
            <wp:extent cx="2990850" cy="1587500"/>
            <wp:effectExtent l="19050" t="0" r="0" b="0"/>
            <wp:docPr id="53"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A25646" w:rsidRPr="004942A0" w:rsidRDefault="00A25646" w:rsidP="00A25646">
      <w:pPr>
        <w:spacing w:after="0" w:line="240" w:lineRule="auto"/>
        <w:jc w:val="both"/>
        <w:rPr>
          <w:rFonts w:ascii="Times New Roman" w:hAnsi="Times New Roman" w:cs="Times New Roman"/>
          <w:color w:val="000000"/>
          <w:sz w:val="28"/>
          <w:szCs w:val="28"/>
          <w:lang w:val="uk-UA"/>
        </w:rPr>
      </w:pPr>
    </w:p>
    <w:p w:rsidR="00A25646" w:rsidRPr="00EC5B84" w:rsidRDefault="00A25646" w:rsidP="00FA4454">
      <w:pPr>
        <w:widowControl w:val="0"/>
        <w:spacing w:after="0" w:line="240" w:lineRule="auto"/>
        <w:ind w:firstLine="567"/>
        <w:jc w:val="both"/>
        <w:rPr>
          <w:rFonts w:ascii="Times New Roman" w:eastAsia="Times New Roman" w:hAnsi="Times New Roman" w:cs="Times New Roman"/>
          <w:color w:val="000000"/>
          <w:sz w:val="28"/>
          <w:szCs w:val="28"/>
          <w:lang w:val="uk-UA"/>
        </w:rPr>
      </w:pPr>
      <w:r w:rsidRPr="00EC5B84">
        <w:rPr>
          <w:rFonts w:ascii="Times New Roman" w:eastAsia="Times New Roman" w:hAnsi="Times New Roman" w:cs="Times New Roman"/>
          <w:color w:val="000000"/>
          <w:sz w:val="28"/>
          <w:szCs w:val="28"/>
          <w:lang w:val="uk-UA"/>
        </w:rPr>
        <w:t xml:space="preserve">На малих і середніх підприємствах міста зайнято близько </w:t>
      </w:r>
      <w:r w:rsidRPr="0096191D">
        <w:rPr>
          <w:rFonts w:ascii="Times New Roman" w:eastAsia="Times New Roman" w:hAnsi="Times New Roman" w:cs="Times New Roman"/>
          <w:color w:val="000000" w:themeColor="text1"/>
          <w:sz w:val="28"/>
          <w:szCs w:val="28"/>
          <w:lang w:val="uk-UA"/>
        </w:rPr>
        <w:t>37,0 тис. осіб</w:t>
      </w:r>
      <w:r>
        <w:rPr>
          <w:rFonts w:ascii="Times New Roman" w:eastAsia="Times New Roman" w:hAnsi="Times New Roman" w:cs="Times New Roman"/>
          <w:color w:val="000000"/>
          <w:sz w:val="28"/>
          <w:szCs w:val="28"/>
          <w:lang w:val="uk-UA"/>
        </w:rPr>
        <w:t>.</w:t>
      </w:r>
    </w:p>
    <w:p w:rsidR="00A25646" w:rsidRDefault="00A25646" w:rsidP="00FA4454">
      <w:pPr>
        <w:widowControl w:val="0"/>
        <w:spacing w:after="0" w:line="240" w:lineRule="auto"/>
        <w:ind w:firstLine="567"/>
        <w:jc w:val="both"/>
        <w:rPr>
          <w:rFonts w:ascii="Times New Roman" w:eastAsia="Times New Roman" w:hAnsi="Times New Roman" w:cs="Times New Roman"/>
          <w:color w:val="000000" w:themeColor="text1"/>
          <w:sz w:val="28"/>
          <w:szCs w:val="28"/>
          <w:lang w:val="uk-UA"/>
        </w:rPr>
      </w:pPr>
      <w:r w:rsidRPr="00F02D47">
        <w:rPr>
          <w:rFonts w:ascii="Times New Roman" w:eastAsia="Times New Roman" w:hAnsi="Times New Roman" w:cs="Times New Roman"/>
          <w:color w:val="000000" w:themeColor="text1"/>
          <w:sz w:val="28"/>
          <w:szCs w:val="28"/>
          <w:lang w:val="uk-UA"/>
        </w:rPr>
        <w:t>За 6 місяців 2017 року суб’єкти малого і середнього підприємництва та фізичні особи-підприємці сплатили податків до зведеного бюджету на загальну суму 1136,7 млн. грн.; до бюджету міста – 705,7 млн. грн., що на 196,5 млн. грн., або 38,6% більше, ніж за відповідний період минулого року.</w:t>
      </w:r>
    </w:p>
    <w:p w:rsidR="00A25646" w:rsidRDefault="00A25646" w:rsidP="00A25646">
      <w:pPr>
        <w:widowControl w:val="0"/>
        <w:spacing w:after="0" w:line="240" w:lineRule="auto"/>
        <w:ind w:firstLine="709"/>
        <w:jc w:val="both"/>
        <w:rPr>
          <w:rFonts w:ascii="Times New Roman" w:eastAsia="Times New Roman" w:hAnsi="Times New Roman" w:cs="Times New Roman"/>
          <w:color w:val="000000" w:themeColor="text1"/>
          <w:sz w:val="28"/>
          <w:szCs w:val="28"/>
          <w:lang w:val="uk-UA"/>
        </w:rPr>
      </w:pPr>
    </w:p>
    <w:p w:rsidR="00A25646" w:rsidRDefault="00A25646" w:rsidP="00A25646">
      <w:pPr>
        <w:widowControl w:val="0"/>
        <w:spacing w:after="0" w:line="240" w:lineRule="auto"/>
        <w:ind w:firstLine="709"/>
        <w:jc w:val="center"/>
        <w:rPr>
          <w:rFonts w:ascii="Times New Roman" w:eastAsia="Times New Roman" w:hAnsi="Times New Roman" w:cs="Times New Roman"/>
          <w:color w:val="000000" w:themeColor="text1"/>
          <w:sz w:val="28"/>
          <w:szCs w:val="28"/>
          <w:lang w:val="uk-UA"/>
        </w:rPr>
      </w:pPr>
      <w:r>
        <w:rPr>
          <w:noProof/>
          <w:lang w:eastAsia="ru-RU"/>
        </w:rPr>
        <w:drawing>
          <wp:inline distT="0" distB="0" distL="0" distR="0">
            <wp:extent cx="4387850" cy="2374900"/>
            <wp:effectExtent l="0" t="0" r="0" b="6350"/>
            <wp:docPr id="54"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A25646" w:rsidRPr="00F02D47" w:rsidRDefault="00A25646" w:rsidP="00A25646">
      <w:pPr>
        <w:widowControl w:val="0"/>
        <w:spacing w:after="0" w:line="240" w:lineRule="auto"/>
        <w:ind w:firstLine="709"/>
        <w:jc w:val="both"/>
        <w:rPr>
          <w:rFonts w:ascii="Times New Roman" w:eastAsia="Times New Roman" w:hAnsi="Times New Roman" w:cs="Times New Roman"/>
          <w:color w:val="000000" w:themeColor="text1"/>
          <w:sz w:val="28"/>
          <w:szCs w:val="28"/>
          <w:lang w:val="uk-UA"/>
        </w:rPr>
      </w:pPr>
    </w:p>
    <w:p w:rsidR="00A25646" w:rsidRDefault="00A25646" w:rsidP="00FC1C6F">
      <w:pPr>
        <w:spacing w:after="0" w:line="240" w:lineRule="auto"/>
        <w:ind w:firstLine="567"/>
        <w:jc w:val="both"/>
        <w:rPr>
          <w:rFonts w:ascii="Times New Roman" w:hAnsi="Times New Roman" w:cs="Times New Roman"/>
          <w:color w:val="000000" w:themeColor="text1"/>
          <w:sz w:val="28"/>
          <w:szCs w:val="28"/>
          <w:lang w:val="uk-UA"/>
        </w:rPr>
      </w:pPr>
      <w:r w:rsidRPr="00EC5B84">
        <w:rPr>
          <w:rFonts w:ascii="Times New Roman" w:hAnsi="Times New Roman" w:cs="Times New Roman"/>
          <w:color w:val="000000" w:themeColor="text1"/>
          <w:sz w:val="28"/>
          <w:szCs w:val="28"/>
          <w:lang w:val="uk-UA"/>
        </w:rPr>
        <w:t xml:space="preserve">Через Центр </w:t>
      </w:r>
      <w:r>
        <w:rPr>
          <w:rFonts w:ascii="Times New Roman" w:hAnsi="Times New Roman" w:cs="Times New Roman"/>
          <w:color w:val="000000" w:themeColor="text1"/>
          <w:sz w:val="28"/>
          <w:szCs w:val="28"/>
          <w:lang w:val="uk-UA"/>
        </w:rPr>
        <w:t xml:space="preserve">надання адміністративних послуг </w:t>
      </w:r>
      <w:r w:rsidRPr="00EC5B84">
        <w:rPr>
          <w:rFonts w:ascii="Times New Roman" w:hAnsi="Times New Roman" w:cs="Times New Roman"/>
          <w:color w:val="000000" w:themeColor="text1"/>
          <w:sz w:val="28"/>
          <w:szCs w:val="28"/>
          <w:lang w:val="uk-UA"/>
        </w:rPr>
        <w:t xml:space="preserve">організовано видачу 140 видів адміністративних послуг місцевими, регіональними дозвільними та адміністративними органами. </w:t>
      </w:r>
    </w:p>
    <w:p w:rsidR="00130E9C" w:rsidRDefault="00130E9C" w:rsidP="00FC1C6F">
      <w:pPr>
        <w:spacing w:after="0" w:line="240" w:lineRule="auto"/>
        <w:ind w:firstLine="567"/>
        <w:jc w:val="both"/>
        <w:rPr>
          <w:rFonts w:ascii="Times New Roman" w:hAnsi="Times New Roman" w:cs="Times New Roman"/>
          <w:color w:val="000000" w:themeColor="text1"/>
          <w:sz w:val="28"/>
          <w:szCs w:val="28"/>
          <w:lang w:val="uk-UA"/>
        </w:rPr>
      </w:pPr>
    </w:p>
    <w:p w:rsidR="00A25646" w:rsidRDefault="00A25646" w:rsidP="00A25646">
      <w:pPr>
        <w:spacing w:after="0" w:line="240" w:lineRule="auto"/>
        <w:jc w:val="center"/>
        <w:rPr>
          <w:rFonts w:ascii="Times New Roman" w:hAnsi="Times New Roman" w:cs="Times New Roman"/>
          <w:color w:val="000000" w:themeColor="text1"/>
          <w:sz w:val="28"/>
          <w:szCs w:val="28"/>
          <w:lang w:val="uk-UA" w:eastAsia="uk-UA"/>
        </w:rPr>
      </w:pPr>
      <w:r>
        <w:rPr>
          <w:noProof/>
          <w:lang w:eastAsia="ru-RU"/>
        </w:rPr>
        <w:drawing>
          <wp:inline distT="0" distB="0" distL="0" distR="0">
            <wp:extent cx="3990975" cy="2184400"/>
            <wp:effectExtent l="0" t="0" r="0" b="6350"/>
            <wp:docPr id="55"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A25646" w:rsidRDefault="00A25646" w:rsidP="00A25646">
      <w:pPr>
        <w:spacing w:after="0" w:line="240" w:lineRule="auto"/>
        <w:jc w:val="both"/>
        <w:rPr>
          <w:rFonts w:ascii="Times New Roman" w:hAnsi="Times New Roman" w:cs="Times New Roman"/>
          <w:color w:val="000000" w:themeColor="text1"/>
          <w:sz w:val="28"/>
          <w:szCs w:val="28"/>
          <w:lang w:val="uk-UA" w:eastAsia="uk-UA"/>
        </w:rPr>
      </w:pPr>
    </w:p>
    <w:p w:rsidR="00A25646" w:rsidRDefault="00A25646" w:rsidP="00FC1C6F">
      <w:pPr>
        <w:spacing w:after="0" w:line="240" w:lineRule="auto"/>
        <w:ind w:firstLine="567"/>
        <w:jc w:val="both"/>
        <w:rPr>
          <w:rFonts w:ascii="Times New Roman" w:hAnsi="Times New Roman" w:cs="Times New Roman"/>
          <w:color w:val="000000" w:themeColor="text1"/>
          <w:sz w:val="28"/>
          <w:szCs w:val="28"/>
          <w:lang w:val="uk-UA" w:eastAsia="uk-UA"/>
        </w:rPr>
      </w:pPr>
      <w:r w:rsidRPr="00283722">
        <w:rPr>
          <w:rFonts w:ascii="Times New Roman" w:hAnsi="Times New Roman" w:cs="Times New Roman"/>
          <w:color w:val="000000" w:themeColor="text1"/>
          <w:sz w:val="28"/>
          <w:szCs w:val="28"/>
          <w:lang w:val="uk-UA" w:eastAsia="uk-UA"/>
        </w:rPr>
        <w:lastRenderedPageBreak/>
        <w:t>З по</w:t>
      </w:r>
      <w:r>
        <w:rPr>
          <w:rFonts w:ascii="Times New Roman" w:hAnsi="Times New Roman" w:cs="Times New Roman"/>
          <w:color w:val="000000" w:themeColor="text1"/>
          <w:sz w:val="28"/>
          <w:szCs w:val="28"/>
          <w:lang w:val="uk-UA" w:eastAsia="uk-UA"/>
        </w:rPr>
        <w:t>чатку поточного року видано 5100</w:t>
      </w:r>
      <w:r w:rsidRPr="00283722">
        <w:rPr>
          <w:rFonts w:ascii="Times New Roman" w:hAnsi="Times New Roman" w:cs="Times New Roman"/>
          <w:color w:val="000000" w:themeColor="text1"/>
          <w:sz w:val="28"/>
          <w:szCs w:val="28"/>
          <w:lang w:val="uk-UA" w:eastAsia="uk-UA"/>
        </w:rPr>
        <w:t xml:space="preserve"> документ</w:t>
      </w:r>
      <w:r>
        <w:rPr>
          <w:rFonts w:ascii="Times New Roman" w:hAnsi="Times New Roman" w:cs="Times New Roman"/>
          <w:color w:val="000000" w:themeColor="text1"/>
          <w:sz w:val="28"/>
          <w:szCs w:val="28"/>
          <w:lang w:val="uk-UA" w:eastAsia="uk-UA"/>
        </w:rPr>
        <w:t>ів дозвільного характеру та 2400 декларацій, надано 10430</w:t>
      </w:r>
      <w:r w:rsidRPr="00283722">
        <w:rPr>
          <w:rFonts w:ascii="Times New Roman" w:hAnsi="Times New Roman" w:cs="Times New Roman"/>
          <w:color w:val="000000" w:themeColor="text1"/>
          <w:sz w:val="28"/>
          <w:szCs w:val="28"/>
          <w:lang w:val="uk-UA" w:eastAsia="uk-UA"/>
        </w:rPr>
        <w:t xml:space="preserve"> консультацій суб'єктам підприємницької діяльності. </w:t>
      </w:r>
    </w:p>
    <w:p w:rsidR="00A25646" w:rsidRDefault="00A25646" w:rsidP="00FC1C6F">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Проблемними питаннями залишаються:</w:t>
      </w:r>
    </w:p>
    <w:p w:rsidR="00A25646" w:rsidRPr="00B16160" w:rsidRDefault="00A25646" w:rsidP="00FC1C6F">
      <w:pPr>
        <w:widowControl w:val="0"/>
        <w:numPr>
          <w:ilvl w:val="0"/>
          <w:numId w:val="10"/>
        </w:numPr>
        <w:tabs>
          <w:tab w:val="left" w:pos="360"/>
        </w:tabs>
        <w:autoSpaceDE w:val="0"/>
        <w:autoSpaceDN w:val="0"/>
        <w:spacing w:after="0" w:line="240" w:lineRule="auto"/>
        <w:ind w:left="1134" w:hanging="425"/>
        <w:jc w:val="both"/>
        <w:rPr>
          <w:rFonts w:ascii="Times New Roman" w:hAnsi="Times New Roman" w:cs="Times New Roman"/>
          <w:color w:val="000000"/>
          <w:sz w:val="28"/>
          <w:szCs w:val="28"/>
          <w:lang w:val="uk-UA"/>
        </w:rPr>
      </w:pPr>
      <w:r w:rsidRPr="00B16160">
        <w:rPr>
          <w:rFonts w:ascii="Times New Roman" w:hAnsi="Times New Roman" w:cs="Times New Roman"/>
          <w:color w:val="000000"/>
          <w:sz w:val="28"/>
          <w:szCs w:val="28"/>
          <w:lang w:val="uk-UA"/>
        </w:rPr>
        <w:t>нерозвиненість інфраструктури підтримки підприємництва та відсутність державного</w:t>
      </w:r>
      <w:r w:rsidR="00A218ED">
        <w:rPr>
          <w:rFonts w:ascii="Times New Roman" w:hAnsi="Times New Roman" w:cs="Times New Roman"/>
          <w:color w:val="000000"/>
          <w:sz w:val="28"/>
          <w:szCs w:val="28"/>
          <w:lang w:val="uk-UA"/>
        </w:rPr>
        <w:t xml:space="preserve"> та муніципального</w:t>
      </w:r>
      <w:r w:rsidRPr="00B16160">
        <w:rPr>
          <w:rFonts w:ascii="Times New Roman" w:hAnsi="Times New Roman" w:cs="Times New Roman"/>
          <w:color w:val="000000"/>
          <w:sz w:val="28"/>
          <w:szCs w:val="28"/>
          <w:lang w:val="uk-UA"/>
        </w:rPr>
        <w:t xml:space="preserve"> стимулювання її розвитку;</w:t>
      </w:r>
    </w:p>
    <w:p w:rsidR="00A25646" w:rsidRPr="00B16160" w:rsidRDefault="00A25646" w:rsidP="00FC1C6F">
      <w:pPr>
        <w:widowControl w:val="0"/>
        <w:numPr>
          <w:ilvl w:val="0"/>
          <w:numId w:val="10"/>
        </w:numPr>
        <w:tabs>
          <w:tab w:val="left" w:pos="360"/>
        </w:tabs>
        <w:autoSpaceDE w:val="0"/>
        <w:autoSpaceDN w:val="0"/>
        <w:spacing w:after="0" w:line="240" w:lineRule="auto"/>
        <w:ind w:left="1134" w:hanging="425"/>
        <w:jc w:val="both"/>
        <w:rPr>
          <w:rFonts w:ascii="Times New Roman" w:hAnsi="Times New Roman" w:cs="Times New Roman"/>
          <w:color w:val="000000"/>
          <w:sz w:val="28"/>
          <w:szCs w:val="28"/>
          <w:lang w:val="uk-UA"/>
        </w:rPr>
      </w:pPr>
      <w:r w:rsidRPr="00B16160">
        <w:rPr>
          <w:rFonts w:ascii="Times New Roman" w:hAnsi="Times New Roman" w:cs="Times New Roman"/>
          <w:color w:val="000000"/>
          <w:sz w:val="28"/>
          <w:szCs w:val="28"/>
          <w:lang w:val="uk-UA"/>
        </w:rPr>
        <w:t>дефіцит власних фінансових ресурсів у суб’єктів малого та середнього підприємництва та висока вартість кредитів, що надаються фінансово-кредитними установами;</w:t>
      </w:r>
    </w:p>
    <w:p w:rsidR="00A25646" w:rsidRDefault="00A25646" w:rsidP="00FC1C6F">
      <w:pPr>
        <w:widowControl w:val="0"/>
        <w:numPr>
          <w:ilvl w:val="0"/>
          <w:numId w:val="10"/>
        </w:numPr>
        <w:tabs>
          <w:tab w:val="left" w:pos="0"/>
        </w:tabs>
        <w:autoSpaceDE w:val="0"/>
        <w:autoSpaceDN w:val="0"/>
        <w:spacing w:after="0" w:line="240" w:lineRule="auto"/>
        <w:ind w:left="1134" w:hanging="425"/>
        <w:jc w:val="both"/>
        <w:rPr>
          <w:rFonts w:ascii="Times New Roman" w:hAnsi="Times New Roman" w:cs="Times New Roman"/>
          <w:color w:val="000000"/>
          <w:sz w:val="28"/>
          <w:szCs w:val="28"/>
          <w:lang w:val="uk-UA"/>
        </w:rPr>
      </w:pPr>
      <w:r w:rsidRPr="00B16160">
        <w:rPr>
          <w:rFonts w:ascii="Times New Roman" w:hAnsi="Times New Roman" w:cs="Times New Roman"/>
          <w:color w:val="000000"/>
          <w:sz w:val="28"/>
          <w:szCs w:val="28"/>
          <w:lang w:val="uk-UA"/>
        </w:rPr>
        <w:t>недостатня кількість кваліфікованих кадрів;</w:t>
      </w:r>
    </w:p>
    <w:p w:rsidR="00FC2BF2" w:rsidRPr="00B16160" w:rsidRDefault="00C90377" w:rsidP="00FC1C6F">
      <w:pPr>
        <w:widowControl w:val="0"/>
        <w:numPr>
          <w:ilvl w:val="0"/>
          <w:numId w:val="10"/>
        </w:numPr>
        <w:tabs>
          <w:tab w:val="left" w:pos="0"/>
        </w:tabs>
        <w:autoSpaceDE w:val="0"/>
        <w:autoSpaceDN w:val="0"/>
        <w:spacing w:after="0" w:line="240" w:lineRule="auto"/>
        <w:ind w:left="1134" w:hanging="425"/>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відсутність гарантій по захисту прав власності як на землю, так і на нерухомість; </w:t>
      </w:r>
    </w:p>
    <w:p w:rsidR="00A25646" w:rsidRPr="00B16160" w:rsidRDefault="00A25646" w:rsidP="00FC1C6F">
      <w:pPr>
        <w:widowControl w:val="0"/>
        <w:numPr>
          <w:ilvl w:val="0"/>
          <w:numId w:val="10"/>
        </w:numPr>
        <w:tabs>
          <w:tab w:val="left" w:pos="0"/>
        </w:tabs>
        <w:autoSpaceDE w:val="0"/>
        <w:autoSpaceDN w:val="0"/>
        <w:spacing w:after="0" w:line="240" w:lineRule="auto"/>
        <w:ind w:left="1134" w:hanging="425"/>
        <w:jc w:val="both"/>
        <w:rPr>
          <w:rFonts w:ascii="Times New Roman" w:hAnsi="Times New Roman" w:cs="Times New Roman"/>
          <w:color w:val="000000"/>
          <w:sz w:val="28"/>
          <w:szCs w:val="28"/>
          <w:lang w:val="uk-UA"/>
        </w:rPr>
      </w:pPr>
      <w:r w:rsidRPr="00B16160">
        <w:rPr>
          <w:rFonts w:ascii="Times New Roman" w:hAnsi="Times New Roman" w:cs="Times New Roman"/>
          <w:color w:val="000000"/>
          <w:sz w:val="28"/>
          <w:szCs w:val="28"/>
          <w:lang w:val="uk-UA"/>
        </w:rPr>
        <w:t>недостатня конкурентоспроможність продукції та послуг суб’єктів малого і середнього</w:t>
      </w:r>
      <w:r>
        <w:rPr>
          <w:rFonts w:ascii="Times New Roman" w:hAnsi="Times New Roman" w:cs="Times New Roman"/>
          <w:color w:val="000000"/>
          <w:sz w:val="28"/>
          <w:szCs w:val="28"/>
          <w:lang w:val="uk-UA"/>
        </w:rPr>
        <w:t xml:space="preserve"> підприємництва та невідповід</w:t>
      </w:r>
      <w:r w:rsidRPr="00B16160">
        <w:rPr>
          <w:rFonts w:ascii="Times New Roman" w:hAnsi="Times New Roman" w:cs="Times New Roman"/>
          <w:color w:val="000000"/>
          <w:sz w:val="28"/>
          <w:szCs w:val="28"/>
          <w:lang w:val="uk-UA"/>
        </w:rPr>
        <w:t>ність технічним умовам та стандартам ЄС.</w:t>
      </w:r>
    </w:p>
    <w:p w:rsidR="00A25646" w:rsidRDefault="00A25646" w:rsidP="00A25646">
      <w:pPr>
        <w:pStyle w:val="a3"/>
        <w:spacing w:after="0" w:line="240" w:lineRule="auto"/>
        <w:ind w:left="1066"/>
        <w:jc w:val="both"/>
        <w:rPr>
          <w:rFonts w:ascii="Times New Roman" w:hAnsi="Times New Roman" w:cs="Times New Roman"/>
          <w:color w:val="000000" w:themeColor="text1"/>
          <w:sz w:val="28"/>
          <w:szCs w:val="28"/>
          <w:lang w:val="uk-UA" w:eastAsia="uk-UA"/>
        </w:rPr>
      </w:pPr>
    </w:p>
    <w:p w:rsidR="00A25646" w:rsidRPr="009E5712" w:rsidRDefault="00A25646" w:rsidP="00A25646">
      <w:pPr>
        <w:spacing w:after="0" w:line="240" w:lineRule="auto"/>
        <w:jc w:val="both"/>
        <w:rPr>
          <w:rFonts w:ascii="Times New Roman" w:hAnsi="Times New Roman" w:cs="Times New Roman"/>
          <w:b/>
          <w:color w:val="000000" w:themeColor="text1"/>
          <w:sz w:val="28"/>
          <w:szCs w:val="28"/>
          <w:lang w:val="uk-UA" w:eastAsia="uk-UA"/>
        </w:rPr>
      </w:pPr>
      <w:r w:rsidRPr="009E5712">
        <w:rPr>
          <w:rFonts w:ascii="Times New Roman" w:hAnsi="Times New Roman" w:cs="Times New Roman"/>
          <w:b/>
          <w:color w:val="000000" w:themeColor="text1"/>
          <w:sz w:val="28"/>
          <w:szCs w:val="28"/>
          <w:lang w:val="uk-UA" w:eastAsia="uk-UA"/>
        </w:rPr>
        <w:t>Регуляторна політика</w:t>
      </w:r>
    </w:p>
    <w:p w:rsidR="00A25646" w:rsidRPr="00AF03E7" w:rsidRDefault="00A25646" w:rsidP="00FC1C6F">
      <w:pPr>
        <w:pStyle w:val="2"/>
        <w:spacing w:after="0" w:line="240" w:lineRule="auto"/>
        <w:ind w:left="0" w:firstLine="567"/>
        <w:jc w:val="both"/>
        <w:rPr>
          <w:rFonts w:ascii="Times New Roman" w:eastAsia="Times New Roman" w:hAnsi="Times New Roman" w:cs="Times New Roman"/>
          <w:sz w:val="28"/>
          <w:szCs w:val="28"/>
          <w:lang w:val="uk-UA" w:eastAsia="en-US"/>
        </w:rPr>
      </w:pPr>
      <w:r w:rsidRPr="00AF03E7">
        <w:rPr>
          <w:rFonts w:ascii="Times New Roman" w:eastAsia="Times New Roman" w:hAnsi="Times New Roman" w:cs="Times New Roman"/>
          <w:sz w:val="28"/>
          <w:szCs w:val="28"/>
          <w:lang w:val="uk-UA" w:eastAsia="en-US"/>
        </w:rPr>
        <w:t xml:space="preserve">Відповідно до норм Закону України «Про засади державної регуляторної політики у сфері господарської діяльності» в місті здійснюється реалізація державної регуляторної політики. </w:t>
      </w:r>
    </w:p>
    <w:p w:rsidR="00A25646" w:rsidRPr="00AF03E7" w:rsidRDefault="00A25646" w:rsidP="00FC1C6F">
      <w:pPr>
        <w:spacing w:after="0" w:line="240" w:lineRule="auto"/>
        <w:ind w:firstLine="567"/>
        <w:jc w:val="both"/>
        <w:rPr>
          <w:rFonts w:ascii="Times New Roman" w:eastAsia="Times New Roman" w:hAnsi="Times New Roman" w:cs="Times New Roman"/>
          <w:sz w:val="28"/>
          <w:szCs w:val="28"/>
          <w:lang w:val="uk-UA"/>
        </w:rPr>
      </w:pPr>
      <w:r w:rsidRPr="00AF03E7">
        <w:rPr>
          <w:rFonts w:ascii="Times New Roman" w:eastAsia="Times New Roman" w:hAnsi="Times New Roman" w:cs="Times New Roman"/>
          <w:sz w:val="28"/>
          <w:szCs w:val="28"/>
          <w:lang w:val="uk-UA"/>
        </w:rPr>
        <w:t xml:space="preserve">Виконавчими органами </w:t>
      </w:r>
      <w:r w:rsidR="001B7A39">
        <w:rPr>
          <w:rFonts w:ascii="Times New Roman" w:eastAsia="Times New Roman" w:hAnsi="Times New Roman" w:cs="Times New Roman"/>
          <w:sz w:val="28"/>
          <w:szCs w:val="28"/>
          <w:lang w:val="uk-UA"/>
        </w:rPr>
        <w:t xml:space="preserve">міської ради </w:t>
      </w:r>
      <w:r w:rsidRPr="00AF03E7">
        <w:rPr>
          <w:rFonts w:ascii="Times New Roman" w:eastAsia="Times New Roman" w:hAnsi="Times New Roman" w:cs="Times New Roman"/>
          <w:sz w:val="28"/>
          <w:szCs w:val="28"/>
          <w:lang w:val="uk-UA"/>
        </w:rPr>
        <w:t xml:space="preserve">здійснюється планування діяльності з підготовки проектів регуляторних актів. </w:t>
      </w:r>
    </w:p>
    <w:p w:rsidR="00A25646" w:rsidRPr="00AF03E7" w:rsidRDefault="00A25646" w:rsidP="00FC1C6F">
      <w:pPr>
        <w:spacing w:after="0" w:line="240" w:lineRule="auto"/>
        <w:ind w:firstLine="567"/>
        <w:jc w:val="both"/>
        <w:rPr>
          <w:rFonts w:ascii="Times New Roman" w:eastAsia="Times New Roman" w:hAnsi="Times New Roman" w:cs="Times New Roman"/>
          <w:sz w:val="28"/>
          <w:szCs w:val="28"/>
          <w:lang w:val="uk-UA"/>
        </w:rPr>
      </w:pPr>
      <w:r w:rsidRPr="00AF03E7">
        <w:rPr>
          <w:rFonts w:ascii="Times New Roman" w:eastAsia="Times New Roman" w:hAnsi="Times New Roman" w:cs="Times New Roman"/>
          <w:sz w:val="28"/>
          <w:szCs w:val="28"/>
          <w:lang w:val="uk-UA"/>
        </w:rPr>
        <w:t xml:space="preserve">Всі проекти регуляторних актів з відповідними аналізами регуляторних впливів оприлюднюються з метою отримання зауважень і пропозицій від фізичних та юридичних осіб. </w:t>
      </w:r>
    </w:p>
    <w:p w:rsidR="00A25646" w:rsidRPr="00AF03E7" w:rsidRDefault="00A25646" w:rsidP="00FC1C6F">
      <w:pPr>
        <w:spacing w:after="0" w:line="240" w:lineRule="auto"/>
        <w:ind w:firstLine="567"/>
        <w:jc w:val="both"/>
        <w:rPr>
          <w:rFonts w:ascii="Times New Roman" w:eastAsia="Times New Roman" w:hAnsi="Times New Roman" w:cs="Times New Roman"/>
          <w:sz w:val="28"/>
          <w:szCs w:val="28"/>
          <w:lang w:val="uk-UA"/>
        </w:rPr>
      </w:pPr>
      <w:r w:rsidRPr="00AF03E7">
        <w:rPr>
          <w:rFonts w:ascii="Times New Roman" w:eastAsia="Times New Roman" w:hAnsi="Times New Roman" w:cs="Times New Roman"/>
          <w:sz w:val="28"/>
          <w:szCs w:val="28"/>
          <w:lang w:val="uk-UA"/>
        </w:rPr>
        <w:t xml:space="preserve">Для забезпечення відкритості процесу регуляторної діяльності проводяться громадські обговорення проектів регуляторних актів із залученням представників бізнесу та громадських організацій підприємців, депутатів міської ради та посадових осіб міськвиконкому. Це забезпечує прозорість та передбачуваність дій міської влади, якісну підготовку регуляторних актів, що певною мірою враховують інтереси підприємців та громади. </w:t>
      </w:r>
    </w:p>
    <w:p w:rsidR="00A25646" w:rsidRPr="00AF03E7" w:rsidRDefault="00A25646" w:rsidP="00FC1C6F">
      <w:pPr>
        <w:spacing w:after="0" w:line="240" w:lineRule="auto"/>
        <w:ind w:firstLine="567"/>
        <w:jc w:val="both"/>
        <w:rPr>
          <w:rFonts w:ascii="Times New Roman" w:eastAsia="Times New Roman" w:hAnsi="Times New Roman" w:cs="Times New Roman"/>
          <w:sz w:val="28"/>
          <w:szCs w:val="28"/>
          <w:lang w:val="uk-UA"/>
        </w:rPr>
      </w:pPr>
      <w:r w:rsidRPr="00AF03E7">
        <w:rPr>
          <w:rFonts w:ascii="Times New Roman" w:eastAsia="Times New Roman" w:hAnsi="Times New Roman" w:cs="Times New Roman"/>
          <w:sz w:val="28"/>
          <w:szCs w:val="28"/>
          <w:lang w:val="uk-UA"/>
        </w:rPr>
        <w:t>В місті діють 24 регуляторні акти міської ради та її виконавчого комітету, що регулюють господарську діяльність суб’єктів підприємництва.</w:t>
      </w:r>
    </w:p>
    <w:p w:rsidR="00A25646" w:rsidRPr="00AF03E7" w:rsidRDefault="00A25646" w:rsidP="00FC1C6F">
      <w:pPr>
        <w:spacing w:after="0" w:line="240" w:lineRule="auto"/>
        <w:ind w:firstLine="567"/>
        <w:jc w:val="both"/>
        <w:rPr>
          <w:rFonts w:ascii="Times New Roman" w:eastAsia="Times New Roman" w:hAnsi="Times New Roman" w:cs="Times New Roman"/>
          <w:sz w:val="28"/>
          <w:szCs w:val="28"/>
          <w:lang w:val="uk-UA"/>
        </w:rPr>
      </w:pPr>
      <w:r w:rsidRPr="00AF03E7">
        <w:rPr>
          <w:rFonts w:ascii="Times New Roman" w:eastAsia="Times New Roman" w:hAnsi="Times New Roman" w:cs="Times New Roman"/>
          <w:sz w:val="28"/>
          <w:szCs w:val="28"/>
          <w:lang w:val="uk-UA"/>
        </w:rPr>
        <w:t xml:space="preserve">Для визначення ефективності дії регуляторних актів проводяться їх відстеження результативності відповідно до затвердженого плану. </w:t>
      </w:r>
    </w:p>
    <w:p w:rsidR="00A25646" w:rsidRPr="00AF03E7" w:rsidRDefault="00A25646" w:rsidP="00FC1C6F">
      <w:pPr>
        <w:spacing w:after="0" w:line="240" w:lineRule="auto"/>
        <w:ind w:firstLine="567"/>
        <w:jc w:val="both"/>
        <w:rPr>
          <w:rFonts w:ascii="Times New Roman" w:eastAsia="Times New Roman" w:hAnsi="Times New Roman" w:cs="Times New Roman"/>
          <w:sz w:val="28"/>
          <w:szCs w:val="28"/>
          <w:lang w:val="uk-UA"/>
        </w:rPr>
      </w:pPr>
      <w:r w:rsidRPr="00AF03E7">
        <w:rPr>
          <w:rFonts w:ascii="Times New Roman" w:eastAsia="Times New Roman" w:hAnsi="Times New Roman" w:cs="Times New Roman"/>
          <w:sz w:val="28"/>
          <w:szCs w:val="28"/>
          <w:lang w:val="uk-UA"/>
        </w:rPr>
        <w:t>Головним принципом міської влади є прийняття доцільних та економічно-ефективних регуляторних актів.</w:t>
      </w:r>
    </w:p>
    <w:p w:rsidR="00A25646" w:rsidRDefault="00A25646" w:rsidP="00FC1C6F">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ab/>
        <w:t>Невирішеними залишаються наступні питання:</w:t>
      </w:r>
    </w:p>
    <w:p w:rsidR="00A25646" w:rsidRPr="00AF03E7" w:rsidRDefault="00A25646" w:rsidP="00FC1C6F">
      <w:pPr>
        <w:widowControl w:val="0"/>
        <w:numPr>
          <w:ilvl w:val="0"/>
          <w:numId w:val="11"/>
        </w:numPr>
        <w:tabs>
          <w:tab w:val="left" w:pos="1134"/>
        </w:tabs>
        <w:autoSpaceDE w:val="0"/>
        <w:autoSpaceDN w:val="0"/>
        <w:spacing w:after="0" w:line="240" w:lineRule="auto"/>
        <w:ind w:left="1080" w:hanging="371"/>
        <w:jc w:val="both"/>
        <w:rPr>
          <w:rFonts w:ascii="Times New Roman" w:eastAsia="Times New Roman" w:hAnsi="Times New Roman" w:cs="Times New Roman"/>
          <w:sz w:val="28"/>
          <w:szCs w:val="28"/>
          <w:lang w:val="uk-UA"/>
        </w:rPr>
      </w:pPr>
      <w:r w:rsidRPr="00AF03E7">
        <w:rPr>
          <w:rFonts w:ascii="Times New Roman" w:eastAsia="Times New Roman" w:hAnsi="Times New Roman" w:cs="Times New Roman"/>
          <w:sz w:val="28"/>
          <w:szCs w:val="28"/>
          <w:lang w:val="uk-UA"/>
        </w:rPr>
        <w:t>недостатньо якісна підготовка аналізів регуляторних впливів та проведення відстеження результативності регуляторних актів;</w:t>
      </w:r>
    </w:p>
    <w:p w:rsidR="00A25646" w:rsidRPr="00AF03E7" w:rsidRDefault="00A25646" w:rsidP="00FC1C6F">
      <w:pPr>
        <w:widowControl w:val="0"/>
        <w:numPr>
          <w:ilvl w:val="0"/>
          <w:numId w:val="11"/>
        </w:numPr>
        <w:tabs>
          <w:tab w:val="left" w:pos="0"/>
          <w:tab w:val="left" w:pos="1134"/>
        </w:tabs>
        <w:autoSpaceDE w:val="0"/>
        <w:autoSpaceDN w:val="0"/>
        <w:spacing w:after="0" w:line="240" w:lineRule="auto"/>
        <w:ind w:left="1080" w:hanging="371"/>
        <w:jc w:val="both"/>
        <w:rPr>
          <w:rFonts w:ascii="Times New Roman" w:eastAsia="Times New Roman" w:hAnsi="Times New Roman" w:cs="Times New Roman"/>
          <w:color w:val="000000"/>
          <w:sz w:val="28"/>
          <w:szCs w:val="28"/>
          <w:lang w:val="uk-UA"/>
        </w:rPr>
      </w:pPr>
      <w:r w:rsidRPr="00AF03E7">
        <w:rPr>
          <w:rFonts w:ascii="Times New Roman" w:eastAsia="Times New Roman" w:hAnsi="Times New Roman" w:cs="Times New Roman"/>
          <w:sz w:val="28"/>
          <w:szCs w:val="28"/>
          <w:lang w:val="uk-UA"/>
        </w:rPr>
        <w:t xml:space="preserve">низька активність громадськості в обговореннях проектів </w:t>
      </w:r>
      <w:r w:rsidRPr="00AF03E7">
        <w:rPr>
          <w:rFonts w:ascii="Times New Roman" w:eastAsia="Times New Roman" w:hAnsi="Times New Roman" w:cs="Times New Roman"/>
          <w:color w:val="000000"/>
          <w:sz w:val="28"/>
          <w:szCs w:val="28"/>
          <w:lang w:val="uk-UA"/>
        </w:rPr>
        <w:t>регуляторних актів.</w:t>
      </w:r>
    </w:p>
    <w:p w:rsidR="00A25646" w:rsidRPr="002B7EB6" w:rsidRDefault="00A25646" w:rsidP="00A25646">
      <w:pPr>
        <w:spacing w:after="0" w:line="240" w:lineRule="auto"/>
        <w:jc w:val="both"/>
        <w:rPr>
          <w:rFonts w:ascii="Times New Roman" w:hAnsi="Times New Roman" w:cs="Times New Roman"/>
          <w:b/>
          <w:color w:val="000000" w:themeColor="text1"/>
          <w:sz w:val="28"/>
          <w:szCs w:val="28"/>
          <w:lang w:val="uk-UA" w:eastAsia="uk-UA"/>
        </w:rPr>
      </w:pPr>
      <w:r w:rsidRPr="002B7EB6">
        <w:rPr>
          <w:rFonts w:ascii="Times New Roman" w:hAnsi="Times New Roman" w:cs="Times New Roman"/>
          <w:b/>
          <w:color w:val="000000" w:themeColor="text1"/>
          <w:sz w:val="28"/>
          <w:szCs w:val="28"/>
          <w:lang w:val="uk-UA" w:eastAsia="uk-UA"/>
        </w:rPr>
        <w:lastRenderedPageBreak/>
        <w:t>Розвиток промисловості</w:t>
      </w:r>
    </w:p>
    <w:p w:rsidR="00A25646" w:rsidRDefault="00A25646" w:rsidP="00FC1C6F">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Промислове виробництво у місті є базовою сферою економічної діяльності, що впливає на різні аспекти соціально-економічного розвитку міста, включаючи доходи бюджету, зайнятість і рівень добробуту житомирян.</w:t>
      </w:r>
    </w:p>
    <w:p w:rsidR="00C95A31" w:rsidRDefault="00C95A31" w:rsidP="00C95A31">
      <w:pPr>
        <w:tabs>
          <w:tab w:val="left" w:pos="567"/>
        </w:tabs>
        <w:spacing w:after="0" w:line="240" w:lineRule="auto"/>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ab/>
        <w:t>Промисловими підприємствами міста у січні-липні 2017 року реалізовано споживачам продукції на 8661,3 млн. грн., що на 21,5% більше, ніж за аналогічний період 2016 року. Промислові підприємства міста забезпечили 42,4% обласного обсягу реалізації промислової продукції.</w:t>
      </w:r>
    </w:p>
    <w:p w:rsidR="00C95A31" w:rsidRDefault="00C95A31" w:rsidP="00A25646">
      <w:pPr>
        <w:spacing w:after="0" w:line="240" w:lineRule="auto"/>
        <w:jc w:val="both"/>
        <w:rPr>
          <w:rFonts w:ascii="Times New Roman" w:hAnsi="Times New Roman" w:cs="Times New Roman"/>
          <w:color w:val="000000" w:themeColor="text1"/>
          <w:sz w:val="28"/>
          <w:szCs w:val="28"/>
          <w:lang w:val="uk-UA" w:eastAsia="uk-UA"/>
        </w:rPr>
      </w:pPr>
    </w:p>
    <w:p w:rsidR="00A25646" w:rsidRDefault="00A25646" w:rsidP="00C95A31">
      <w:pPr>
        <w:tabs>
          <w:tab w:val="left" w:pos="6237"/>
        </w:tabs>
        <w:spacing w:after="0" w:line="240" w:lineRule="auto"/>
        <w:jc w:val="center"/>
        <w:rPr>
          <w:rFonts w:ascii="Times New Roman" w:hAnsi="Times New Roman" w:cs="Times New Roman"/>
          <w:color w:val="000000" w:themeColor="text1"/>
          <w:sz w:val="16"/>
          <w:szCs w:val="16"/>
          <w:lang w:val="uk-UA" w:eastAsia="uk-UA"/>
        </w:rPr>
      </w:pPr>
      <w:r w:rsidRPr="00C2517A">
        <w:rPr>
          <w:noProof/>
          <w:sz w:val="16"/>
          <w:szCs w:val="16"/>
          <w:lang w:eastAsia="ru-RU"/>
        </w:rPr>
        <w:drawing>
          <wp:inline distT="0" distB="0" distL="0" distR="0">
            <wp:extent cx="3657600" cy="1859026"/>
            <wp:effectExtent l="19050" t="0" r="0" b="0"/>
            <wp:docPr id="56"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C95A31" w:rsidRDefault="00C95A31" w:rsidP="00A25646">
      <w:pPr>
        <w:tabs>
          <w:tab w:val="left" w:pos="6237"/>
        </w:tabs>
        <w:spacing w:after="0" w:line="240" w:lineRule="auto"/>
        <w:jc w:val="both"/>
        <w:rPr>
          <w:rFonts w:ascii="Times New Roman" w:hAnsi="Times New Roman" w:cs="Times New Roman"/>
          <w:color w:val="000000" w:themeColor="text1"/>
          <w:sz w:val="16"/>
          <w:szCs w:val="16"/>
          <w:lang w:val="uk-UA" w:eastAsia="uk-UA"/>
        </w:rPr>
      </w:pPr>
    </w:p>
    <w:p w:rsidR="00C95A31" w:rsidRPr="00C2517A" w:rsidRDefault="00C95A31" w:rsidP="00A25646">
      <w:pPr>
        <w:tabs>
          <w:tab w:val="left" w:pos="6237"/>
        </w:tabs>
        <w:spacing w:after="0" w:line="240" w:lineRule="auto"/>
        <w:jc w:val="both"/>
        <w:rPr>
          <w:rFonts w:ascii="Times New Roman" w:hAnsi="Times New Roman" w:cs="Times New Roman"/>
          <w:color w:val="000000" w:themeColor="text1"/>
          <w:sz w:val="16"/>
          <w:szCs w:val="16"/>
          <w:lang w:val="uk-UA" w:eastAsia="uk-UA"/>
        </w:rPr>
      </w:pPr>
    </w:p>
    <w:p w:rsidR="00A25646" w:rsidRDefault="00C95A31" w:rsidP="00C95A31">
      <w:pPr>
        <w:tabs>
          <w:tab w:val="left" w:pos="567"/>
        </w:tabs>
        <w:spacing w:after="0" w:line="240" w:lineRule="auto"/>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ab/>
      </w:r>
      <w:r w:rsidR="00A25646">
        <w:rPr>
          <w:noProof/>
          <w:lang w:eastAsia="ru-RU"/>
        </w:rPr>
        <w:drawing>
          <wp:inline distT="0" distB="0" distL="0" distR="0">
            <wp:extent cx="5455158" cy="3297936"/>
            <wp:effectExtent l="0" t="0" r="0" b="0"/>
            <wp:docPr id="57"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A25646" w:rsidRDefault="00A25646" w:rsidP="00A25646">
      <w:pPr>
        <w:spacing w:after="0" w:line="240" w:lineRule="auto"/>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ab/>
        <w:t>Обсяг реалізованої промислової продукції на одного мешканця міста складає 32,4 тис. грн., що на 22,3% більше, ніж за аналогічний період минулого року та майже удвічі більше середнього показника по області – 16,1 тис. грн.</w:t>
      </w:r>
    </w:p>
    <w:p w:rsidR="00A25646" w:rsidRDefault="00A25646" w:rsidP="00FC1C6F">
      <w:pPr>
        <w:tabs>
          <w:tab w:val="left" w:pos="567"/>
        </w:tabs>
        <w:spacing w:after="0" w:line="240" w:lineRule="auto"/>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ab/>
        <w:t>Невирішеними залишаються наступні проблеми:</w:t>
      </w:r>
    </w:p>
    <w:p w:rsidR="00A25646" w:rsidRDefault="00A25646" w:rsidP="00FC1C6F">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 xml:space="preserve">високий рівень зношеності основних засобів виробництва, висока енерго- та ресурсозатратність технологічних процесів, відсутність </w:t>
      </w:r>
      <w:r>
        <w:rPr>
          <w:rFonts w:ascii="Times New Roman" w:hAnsi="Times New Roman" w:cs="Times New Roman"/>
          <w:color w:val="000000" w:themeColor="text1"/>
          <w:sz w:val="28"/>
          <w:szCs w:val="28"/>
          <w:lang w:val="uk-UA" w:eastAsia="uk-UA"/>
        </w:rPr>
        <w:lastRenderedPageBreak/>
        <w:t>коштів для оновлення та технічного переоснащення виробництва, низька конкурентоспроможність продукції особливо на зовнішніх ринках;</w:t>
      </w:r>
    </w:p>
    <w:p w:rsidR="00A25646" w:rsidRDefault="00A25646" w:rsidP="00FC1C6F">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низький рівень впровадження енергозберігаючих технологій;</w:t>
      </w:r>
    </w:p>
    <w:p w:rsidR="00A25646" w:rsidRDefault="00A25646" w:rsidP="00FC1C6F">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низький рівень інноваційності;</w:t>
      </w:r>
    </w:p>
    <w:p w:rsidR="00A25646" w:rsidRDefault="00A25646" w:rsidP="00FC1C6F">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залежність підприємств від давальницької сировини</w:t>
      </w:r>
      <w:r w:rsidR="00C2517A">
        <w:rPr>
          <w:rFonts w:ascii="Times New Roman" w:hAnsi="Times New Roman" w:cs="Times New Roman"/>
          <w:color w:val="000000" w:themeColor="text1"/>
          <w:sz w:val="28"/>
          <w:szCs w:val="28"/>
          <w:lang w:val="uk-UA" w:eastAsia="uk-UA"/>
        </w:rPr>
        <w:t xml:space="preserve"> окремих суб’</w:t>
      </w:r>
      <w:r w:rsidR="00C2517A" w:rsidRPr="00C2517A">
        <w:rPr>
          <w:rFonts w:ascii="Times New Roman" w:hAnsi="Times New Roman" w:cs="Times New Roman"/>
          <w:color w:val="000000" w:themeColor="text1"/>
          <w:sz w:val="28"/>
          <w:szCs w:val="28"/>
          <w:lang w:eastAsia="uk-UA"/>
        </w:rPr>
        <w:t>єктів легкої промисловості</w:t>
      </w:r>
      <w:r>
        <w:rPr>
          <w:rFonts w:ascii="Times New Roman" w:hAnsi="Times New Roman" w:cs="Times New Roman"/>
          <w:color w:val="000000" w:themeColor="text1"/>
          <w:sz w:val="28"/>
          <w:szCs w:val="28"/>
          <w:lang w:val="uk-UA" w:eastAsia="uk-UA"/>
        </w:rPr>
        <w:t>;</w:t>
      </w:r>
    </w:p>
    <w:p w:rsidR="00A25646" w:rsidRDefault="00A25646" w:rsidP="00FC1C6F">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ввезення контрафактної продукції;</w:t>
      </w:r>
    </w:p>
    <w:p w:rsidR="00A25646" w:rsidRDefault="00A25646" w:rsidP="00FC1C6F">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підвищення цін на енергоносії;</w:t>
      </w:r>
    </w:p>
    <w:p w:rsidR="00A25646" w:rsidRDefault="00C2517A" w:rsidP="00FC1C6F">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sidRPr="00482DB1">
        <w:rPr>
          <w:rFonts w:ascii="Times New Roman" w:hAnsi="Times New Roman" w:cs="Times New Roman"/>
          <w:color w:val="000000" w:themeColor="text1"/>
          <w:sz w:val="28"/>
          <w:szCs w:val="28"/>
          <w:lang w:val="uk-UA" w:eastAsia="uk-UA"/>
        </w:rPr>
        <w:t xml:space="preserve">дефіцит робітничих кадрів та відсутність </w:t>
      </w:r>
      <w:r w:rsidR="00482DB1" w:rsidRPr="00482DB1">
        <w:rPr>
          <w:rFonts w:ascii="Times New Roman" w:hAnsi="Times New Roman" w:cs="Times New Roman"/>
          <w:color w:val="000000" w:themeColor="text1"/>
          <w:sz w:val="28"/>
          <w:szCs w:val="28"/>
          <w:lang w:val="uk-UA" w:eastAsia="uk-UA"/>
        </w:rPr>
        <w:t xml:space="preserve">ефективної співпраці між роботодавцями та навчальними закладами. </w:t>
      </w:r>
    </w:p>
    <w:p w:rsidR="00482DB1" w:rsidRPr="00482DB1" w:rsidRDefault="00482DB1" w:rsidP="001221FC">
      <w:pPr>
        <w:pStyle w:val="a3"/>
        <w:spacing w:after="0" w:line="240" w:lineRule="auto"/>
        <w:ind w:left="567" w:hanging="283"/>
        <w:jc w:val="both"/>
        <w:rPr>
          <w:rFonts w:ascii="Times New Roman" w:hAnsi="Times New Roman" w:cs="Times New Roman"/>
          <w:color w:val="000000" w:themeColor="text1"/>
          <w:sz w:val="28"/>
          <w:szCs w:val="28"/>
          <w:lang w:val="uk-UA" w:eastAsia="uk-UA"/>
        </w:rPr>
      </w:pPr>
    </w:p>
    <w:p w:rsidR="00A25646" w:rsidRPr="00A64DF0" w:rsidRDefault="00A25646" w:rsidP="00A25646">
      <w:pPr>
        <w:spacing w:after="0" w:line="240" w:lineRule="auto"/>
        <w:jc w:val="both"/>
        <w:rPr>
          <w:rFonts w:ascii="Times New Roman" w:hAnsi="Times New Roman" w:cs="Times New Roman"/>
          <w:b/>
          <w:color w:val="000000" w:themeColor="text1"/>
          <w:sz w:val="28"/>
          <w:szCs w:val="28"/>
          <w:lang w:val="uk-UA" w:eastAsia="uk-UA"/>
        </w:rPr>
      </w:pPr>
      <w:r w:rsidRPr="00A64DF0">
        <w:rPr>
          <w:rFonts w:ascii="Times New Roman" w:hAnsi="Times New Roman" w:cs="Times New Roman"/>
          <w:b/>
          <w:color w:val="000000" w:themeColor="text1"/>
          <w:sz w:val="28"/>
          <w:szCs w:val="28"/>
          <w:lang w:val="uk-UA" w:eastAsia="uk-UA"/>
        </w:rPr>
        <w:t>Будівництво</w:t>
      </w:r>
    </w:p>
    <w:p w:rsidR="00A25646" w:rsidRDefault="00A25646" w:rsidP="00A25646">
      <w:pPr>
        <w:spacing w:after="0" w:line="240" w:lineRule="auto"/>
        <w:ind w:firstLine="708"/>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Будівельними підприємствами міста у січні-серпні 2017 року виконано робіт на суму 472,8 млн. грн., це на 71,1% більше, ніж за аналогічний період минулого року.</w:t>
      </w:r>
    </w:p>
    <w:p w:rsidR="00A25646" w:rsidRDefault="00A25646" w:rsidP="00A25646">
      <w:pPr>
        <w:spacing w:after="0" w:line="240" w:lineRule="auto"/>
        <w:ind w:firstLine="708"/>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Структура виконаних робіт за видами будівельної продукції, %</w:t>
      </w:r>
    </w:p>
    <w:p w:rsidR="00A25646" w:rsidRDefault="00A25646" w:rsidP="00A25646">
      <w:pPr>
        <w:spacing w:after="0" w:line="240" w:lineRule="auto"/>
        <w:ind w:firstLine="708"/>
        <w:jc w:val="center"/>
        <w:rPr>
          <w:rFonts w:ascii="Times New Roman" w:hAnsi="Times New Roman" w:cs="Times New Roman"/>
          <w:color w:val="000000" w:themeColor="text1"/>
          <w:sz w:val="28"/>
          <w:szCs w:val="28"/>
          <w:lang w:val="uk-UA" w:eastAsia="uk-UA"/>
        </w:rPr>
      </w:pPr>
      <w:r>
        <w:rPr>
          <w:noProof/>
          <w:lang w:eastAsia="ru-RU"/>
        </w:rPr>
        <w:drawing>
          <wp:inline distT="0" distB="0" distL="0" distR="0">
            <wp:extent cx="4064000" cy="1955800"/>
            <wp:effectExtent l="0" t="0" r="0" b="6350"/>
            <wp:docPr id="58"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8A5733" w:rsidRDefault="008A5733" w:rsidP="00FC1C6F">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За звітний період прийнято в експлуатацію 26,1 тис.м</w:t>
      </w:r>
      <w:r>
        <w:rPr>
          <w:rFonts w:ascii="Times New Roman" w:hAnsi="Times New Roman" w:cs="Times New Roman"/>
          <w:color w:val="000000" w:themeColor="text1"/>
          <w:sz w:val="28"/>
          <w:szCs w:val="28"/>
          <w:vertAlign w:val="superscript"/>
          <w:lang w:val="uk-UA" w:eastAsia="uk-UA"/>
        </w:rPr>
        <w:t>2</w:t>
      </w:r>
      <w:r>
        <w:rPr>
          <w:rFonts w:ascii="Times New Roman" w:hAnsi="Times New Roman" w:cs="Times New Roman"/>
          <w:color w:val="000000" w:themeColor="text1"/>
          <w:sz w:val="28"/>
          <w:szCs w:val="28"/>
          <w:lang w:val="uk-UA" w:eastAsia="uk-UA"/>
        </w:rPr>
        <w:t xml:space="preserve"> загальної  площі житла, що на 5,0% більше, ніж у січні-червні 2016 року.</w:t>
      </w:r>
    </w:p>
    <w:p w:rsidR="00A25646" w:rsidRDefault="00A25646" w:rsidP="00A25646">
      <w:pPr>
        <w:spacing w:after="0" w:line="240" w:lineRule="auto"/>
        <w:ind w:firstLine="708"/>
        <w:jc w:val="both"/>
        <w:rPr>
          <w:rFonts w:ascii="Times New Roman" w:hAnsi="Times New Roman" w:cs="Times New Roman"/>
          <w:color w:val="000000" w:themeColor="text1"/>
          <w:sz w:val="28"/>
          <w:szCs w:val="28"/>
          <w:lang w:val="uk-UA" w:eastAsia="uk-UA"/>
        </w:rPr>
      </w:pPr>
    </w:p>
    <w:p w:rsidR="00A25646" w:rsidRDefault="00A25646" w:rsidP="008A5733">
      <w:pPr>
        <w:spacing w:after="0" w:line="240" w:lineRule="auto"/>
        <w:jc w:val="center"/>
        <w:rPr>
          <w:rFonts w:ascii="Times New Roman" w:hAnsi="Times New Roman" w:cs="Times New Roman"/>
          <w:color w:val="000000" w:themeColor="text1"/>
          <w:sz w:val="28"/>
          <w:szCs w:val="28"/>
          <w:lang w:val="uk-UA" w:eastAsia="uk-UA"/>
        </w:rPr>
      </w:pPr>
      <w:r>
        <w:rPr>
          <w:noProof/>
          <w:lang w:eastAsia="ru-RU"/>
        </w:rPr>
        <w:drawing>
          <wp:inline distT="0" distB="0" distL="0" distR="0">
            <wp:extent cx="3848100" cy="2295525"/>
            <wp:effectExtent l="0" t="0" r="0" b="0"/>
            <wp:docPr id="59"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A25646" w:rsidRDefault="00A25646" w:rsidP="00A25646">
      <w:pPr>
        <w:spacing w:after="0" w:line="240" w:lineRule="auto"/>
        <w:ind w:firstLine="708"/>
        <w:jc w:val="both"/>
        <w:rPr>
          <w:rFonts w:ascii="Times New Roman" w:hAnsi="Times New Roman" w:cs="Times New Roman"/>
          <w:color w:val="000000" w:themeColor="text1"/>
          <w:sz w:val="28"/>
          <w:szCs w:val="28"/>
          <w:lang w:val="uk-UA" w:eastAsia="uk-UA"/>
        </w:rPr>
      </w:pPr>
    </w:p>
    <w:p w:rsidR="00130E9C" w:rsidRDefault="00130E9C" w:rsidP="00A25646">
      <w:pPr>
        <w:spacing w:after="0" w:line="240" w:lineRule="auto"/>
        <w:ind w:firstLine="708"/>
        <w:jc w:val="both"/>
        <w:rPr>
          <w:rFonts w:ascii="Times New Roman" w:hAnsi="Times New Roman" w:cs="Times New Roman"/>
          <w:color w:val="000000" w:themeColor="text1"/>
          <w:sz w:val="28"/>
          <w:szCs w:val="28"/>
          <w:lang w:val="uk-UA" w:eastAsia="uk-UA"/>
        </w:rPr>
      </w:pPr>
    </w:p>
    <w:p w:rsidR="00130E9C" w:rsidRDefault="00130E9C" w:rsidP="00A25646">
      <w:pPr>
        <w:spacing w:after="0" w:line="240" w:lineRule="auto"/>
        <w:ind w:firstLine="708"/>
        <w:jc w:val="both"/>
        <w:rPr>
          <w:rFonts w:ascii="Times New Roman" w:hAnsi="Times New Roman" w:cs="Times New Roman"/>
          <w:color w:val="000000" w:themeColor="text1"/>
          <w:sz w:val="28"/>
          <w:szCs w:val="28"/>
          <w:lang w:val="uk-UA" w:eastAsia="uk-UA"/>
        </w:rPr>
      </w:pPr>
    </w:p>
    <w:p w:rsidR="008A5733" w:rsidRDefault="008A5733" w:rsidP="00FC1C6F">
      <w:pPr>
        <w:spacing w:after="0" w:line="240" w:lineRule="auto"/>
        <w:ind w:firstLine="567"/>
        <w:jc w:val="both"/>
        <w:rPr>
          <w:rFonts w:ascii="Times New Roman" w:hAnsi="Times New Roman" w:cs="Times New Roman"/>
          <w:color w:val="000000" w:themeColor="text1"/>
          <w:sz w:val="28"/>
          <w:szCs w:val="28"/>
          <w:lang w:val="uk-UA" w:eastAsia="uk-UA"/>
        </w:rPr>
      </w:pPr>
      <w:r w:rsidRPr="001B1196">
        <w:rPr>
          <w:rFonts w:ascii="Times New Roman" w:hAnsi="Times New Roman" w:cs="Times New Roman"/>
          <w:color w:val="000000" w:themeColor="text1"/>
          <w:sz w:val="28"/>
          <w:szCs w:val="28"/>
          <w:lang w:eastAsia="uk-UA"/>
        </w:rPr>
        <w:lastRenderedPageBreak/>
        <w:t>У</w:t>
      </w:r>
      <w:r>
        <w:rPr>
          <w:rFonts w:ascii="Times New Roman" w:hAnsi="Times New Roman" w:cs="Times New Roman"/>
          <w:color w:val="000000" w:themeColor="text1"/>
          <w:sz w:val="28"/>
          <w:szCs w:val="28"/>
          <w:lang w:val="uk-UA" w:eastAsia="uk-UA"/>
        </w:rPr>
        <w:t xml:space="preserve"> розрахунку на 10 тис. населення прийнято в експлуатацію 981,3 м</w:t>
      </w:r>
      <w:r>
        <w:rPr>
          <w:rFonts w:ascii="Times New Roman" w:hAnsi="Times New Roman" w:cs="Times New Roman"/>
          <w:color w:val="000000" w:themeColor="text1"/>
          <w:sz w:val="28"/>
          <w:szCs w:val="28"/>
          <w:vertAlign w:val="superscript"/>
          <w:lang w:val="uk-UA" w:eastAsia="uk-UA"/>
        </w:rPr>
        <w:t>2</w:t>
      </w:r>
      <w:r>
        <w:rPr>
          <w:rFonts w:ascii="Times New Roman" w:hAnsi="Times New Roman" w:cs="Times New Roman"/>
          <w:color w:val="000000" w:themeColor="text1"/>
          <w:sz w:val="28"/>
          <w:szCs w:val="28"/>
          <w:lang w:val="uk-UA" w:eastAsia="uk-UA"/>
        </w:rPr>
        <w:t xml:space="preserve"> житла проти 604,9 м</w:t>
      </w:r>
      <w:r>
        <w:rPr>
          <w:rFonts w:ascii="Times New Roman" w:hAnsi="Times New Roman" w:cs="Times New Roman"/>
          <w:color w:val="000000" w:themeColor="text1"/>
          <w:sz w:val="28"/>
          <w:szCs w:val="28"/>
          <w:vertAlign w:val="superscript"/>
          <w:lang w:val="uk-UA" w:eastAsia="uk-UA"/>
        </w:rPr>
        <w:t>2</w:t>
      </w:r>
      <w:r>
        <w:rPr>
          <w:rFonts w:ascii="Times New Roman" w:hAnsi="Times New Roman" w:cs="Times New Roman"/>
          <w:color w:val="000000" w:themeColor="text1"/>
          <w:sz w:val="28"/>
          <w:szCs w:val="28"/>
          <w:lang w:val="uk-UA" w:eastAsia="uk-UA"/>
        </w:rPr>
        <w:t xml:space="preserve"> в середньому по області.</w:t>
      </w:r>
    </w:p>
    <w:p w:rsidR="00BF61BA" w:rsidRPr="00BF61BA" w:rsidRDefault="00BF61BA" w:rsidP="00FC1C6F">
      <w:pPr>
        <w:spacing w:after="0" w:line="240" w:lineRule="auto"/>
        <w:ind w:firstLine="567"/>
        <w:jc w:val="both"/>
        <w:rPr>
          <w:rFonts w:ascii="Times New Roman" w:hAnsi="Times New Roman" w:cs="Times New Roman"/>
          <w:color w:val="000000" w:themeColor="text1"/>
          <w:sz w:val="16"/>
          <w:szCs w:val="16"/>
          <w:lang w:val="uk-UA" w:eastAsia="uk-UA"/>
        </w:rPr>
      </w:pPr>
    </w:p>
    <w:p w:rsidR="00A25646" w:rsidRDefault="00A25646" w:rsidP="008A5733">
      <w:pPr>
        <w:spacing w:after="0" w:line="240" w:lineRule="auto"/>
        <w:jc w:val="center"/>
        <w:rPr>
          <w:rFonts w:ascii="Times New Roman" w:hAnsi="Times New Roman" w:cs="Times New Roman"/>
          <w:color w:val="000000" w:themeColor="text1"/>
          <w:sz w:val="28"/>
          <w:szCs w:val="28"/>
          <w:lang w:val="uk-UA" w:eastAsia="uk-UA"/>
        </w:rPr>
      </w:pPr>
      <w:r>
        <w:rPr>
          <w:noProof/>
          <w:lang w:eastAsia="ru-RU"/>
        </w:rPr>
        <w:drawing>
          <wp:inline distT="0" distB="0" distL="0" distR="0">
            <wp:extent cx="3851275" cy="2286000"/>
            <wp:effectExtent l="0" t="0" r="0" b="0"/>
            <wp:docPr id="60"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BF61BA" w:rsidRPr="00BF61BA" w:rsidRDefault="00BF61BA" w:rsidP="008A5733">
      <w:pPr>
        <w:spacing w:after="0" w:line="240" w:lineRule="auto"/>
        <w:jc w:val="center"/>
        <w:rPr>
          <w:rFonts w:ascii="Times New Roman" w:hAnsi="Times New Roman" w:cs="Times New Roman"/>
          <w:color w:val="000000" w:themeColor="text1"/>
          <w:sz w:val="16"/>
          <w:szCs w:val="16"/>
          <w:lang w:val="uk-UA" w:eastAsia="uk-UA"/>
        </w:rPr>
      </w:pPr>
    </w:p>
    <w:p w:rsidR="00A25646" w:rsidRDefault="00A25646" w:rsidP="00FC1C6F">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У соціальній сфері введено в дію терапевтичне відділення лікарні на 40 ліжок, амбулаторію на 180 відвідувань.</w:t>
      </w:r>
    </w:p>
    <w:p w:rsidR="00A25646" w:rsidRDefault="00A25646" w:rsidP="00FC1C6F">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У виробничій сфері прийнято в експлуатацію цехи з виробництва металовиробів на 360 тонн у рік, виробів з деревини на 412,3 тис. штук, облицювальних матеріалів природного каменю на 8,0 тис. м</w:t>
      </w:r>
      <w:r>
        <w:rPr>
          <w:rFonts w:ascii="Times New Roman" w:hAnsi="Times New Roman" w:cs="Times New Roman"/>
          <w:color w:val="000000" w:themeColor="text1"/>
          <w:sz w:val="28"/>
          <w:szCs w:val="28"/>
          <w:vertAlign w:val="superscript"/>
          <w:lang w:val="uk-UA" w:eastAsia="uk-UA"/>
        </w:rPr>
        <w:t>2</w:t>
      </w:r>
      <w:r>
        <w:rPr>
          <w:rFonts w:ascii="Times New Roman" w:hAnsi="Times New Roman" w:cs="Times New Roman"/>
          <w:color w:val="000000" w:themeColor="text1"/>
          <w:sz w:val="28"/>
          <w:szCs w:val="28"/>
          <w:lang w:val="uk-UA" w:eastAsia="uk-UA"/>
        </w:rPr>
        <w:t>.</w:t>
      </w:r>
    </w:p>
    <w:p w:rsidR="00A25646" w:rsidRPr="00EE6F1B" w:rsidRDefault="00A25646" w:rsidP="00FC1C6F">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Введені в дію магазини торговою площею 1,2 тис. м</w:t>
      </w:r>
      <w:r>
        <w:rPr>
          <w:rFonts w:ascii="Times New Roman" w:hAnsi="Times New Roman" w:cs="Times New Roman"/>
          <w:color w:val="000000" w:themeColor="text1"/>
          <w:sz w:val="28"/>
          <w:szCs w:val="28"/>
          <w:vertAlign w:val="superscript"/>
          <w:lang w:val="uk-UA" w:eastAsia="uk-UA"/>
        </w:rPr>
        <w:t>2</w:t>
      </w:r>
      <w:r>
        <w:rPr>
          <w:rFonts w:ascii="Times New Roman" w:hAnsi="Times New Roman" w:cs="Times New Roman"/>
          <w:color w:val="000000" w:themeColor="text1"/>
          <w:sz w:val="28"/>
          <w:szCs w:val="28"/>
          <w:lang w:val="uk-UA" w:eastAsia="uk-UA"/>
        </w:rPr>
        <w:t>, автомобільна заправна станція на 52,8 тис. авто. Побудовані ігрові майданчики на 700 м</w:t>
      </w:r>
      <w:r>
        <w:rPr>
          <w:rFonts w:ascii="Times New Roman" w:hAnsi="Times New Roman" w:cs="Times New Roman"/>
          <w:color w:val="000000" w:themeColor="text1"/>
          <w:sz w:val="28"/>
          <w:szCs w:val="28"/>
          <w:vertAlign w:val="superscript"/>
          <w:lang w:val="uk-UA" w:eastAsia="uk-UA"/>
        </w:rPr>
        <w:t>2</w:t>
      </w:r>
      <w:r>
        <w:rPr>
          <w:rFonts w:ascii="Times New Roman" w:hAnsi="Times New Roman" w:cs="Times New Roman"/>
          <w:color w:val="000000" w:themeColor="text1"/>
          <w:sz w:val="28"/>
          <w:szCs w:val="28"/>
          <w:lang w:val="uk-UA" w:eastAsia="uk-UA"/>
        </w:rPr>
        <w:t>, плавальні басейни на 292 м</w:t>
      </w:r>
      <w:r>
        <w:rPr>
          <w:rFonts w:ascii="Times New Roman" w:hAnsi="Times New Roman" w:cs="Times New Roman"/>
          <w:color w:val="000000" w:themeColor="text1"/>
          <w:sz w:val="28"/>
          <w:szCs w:val="28"/>
          <w:vertAlign w:val="superscript"/>
          <w:lang w:val="uk-UA" w:eastAsia="uk-UA"/>
        </w:rPr>
        <w:t>2</w:t>
      </w:r>
      <w:r>
        <w:rPr>
          <w:rFonts w:ascii="Times New Roman" w:hAnsi="Times New Roman" w:cs="Times New Roman"/>
          <w:color w:val="000000" w:themeColor="text1"/>
          <w:sz w:val="28"/>
          <w:szCs w:val="28"/>
          <w:lang w:val="uk-UA" w:eastAsia="uk-UA"/>
        </w:rPr>
        <w:t>, шкільна обсерваторія на 147 м</w:t>
      </w:r>
      <w:r>
        <w:rPr>
          <w:rFonts w:ascii="Times New Roman" w:hAnsi="Times New Roman" w:cs="Times New Roman"/>
          <w:color w:val="000000" w:themeColor="text1"/>
          <w:sz w:val="28"/>
          <w:szCs w:val="28"/>
          <w:vertAlign w:val="superscript"/>
          <w:lang w:val="uk-UA" w:eastAsia="uk-UA"/>
        </w:rPr>
        <w:t>2</w:t>
      </w:r>
      <w:r>
        <w:rPr>
          <w:rFonts w:ascii="Times New Roman" w:hAnsi="Times New Roman" w:cs="Times New Roman"/>
          <w:color w:val="000000" w:themeColor="text1"/>
          <w:sz w:val="28"/>
          <w:szCs w:val="28"/>
          <w:lang w:val="uk-UA" w:eastAsia="uk-UA"/>
        </w:rPr>
        <w:t>.</w:t>
      </w:r>
    </w:p>
    <w:p w:rsidR="00A25646" w:rsidRDefault="00A25646" w:rsidP="00A25646">
      <w:pPr>
        <w:spacing w:after="0" w:line="240" w:lineRule="auto"/>
        <w:jc w:val="both"/>
        <w:rPr>
          <w:rFonts w:ascii="Times New Roman" w:hAnsi="Times New Roman" w:cs="Times New Roman"/>
          <w:color w:val="FF0000"/>
          <w:sz w:val="28"/>
          <w:szCs w:val="28"/>
          <w:lang w:val="uk-UA" w:eastAsia="uk-UA"/>
        </w:rPr>
      </w:pPr>
    </w:p>
    <w:p w:rsidR="00A25646" w:rsidRPr="00605A43" w:rsidRDefault="00A25646" w:rsidP="00A25646">
      <w:pPr>
        <w:spacing w:after="0" w:line="240" w:lineRule="auto"/>
        <w:jc w:val="both"/>
        <w:rPr>
          <w:rFonts w:ascii="Times New Roman" w:hAnsi="Times New Roman" w:cs="Times New Roman"/>
          <w:b/>
          <w:color w:val="000000" w:themeColor="text1"/>
          <w:sz w:val="28"/>
          <w:szCs w:val="28"/>
          <w:lang w:val="uk-UA" w:eastAsia="uk-UA"/>
        </w:rPr>
      </w:pPr>
      <w:r w:rsidRPr="00605A43">
        <w:rPr>
          <w:rFonts w:ascii="Times New Roman" w:hAnsi="Times New Roman" w:cs="Times New Roman"/>
          <w:b/>
          <w:color w:val="000000" w:themeColor="text1"/>
          <w:sz w:val="28"/>
          <w:szCs w:val="28"/>
          <w:lang w:val="uk-UA" w:eastAsia="uk-UA"/>
        </w:rPr>
        <w:t xml:space="preserve">Управління об’єктами комунальної власності </w:t>
      </w:r>
    </w:p>
    <w:p w:rsidR="00A25646" w:rsidRDefault="00A25646" w:rsidP="00FC1C6F">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Одним з основних завдань міської влади є ефективне та раціональне використання наявних об’єктів нерухомого майна з метою збільшення надходжень до міського бюджету.</w:t>
      </w:r>
    </w:p>
    <w:p w:rsidR="00A25646" w:rsidRDefault="00A25646" w:rsidP="00FC1C6F">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В місті налічується 1594 об</w:t>
      </w:r>
      <w:r w:rsidRPr="000E30E6">
        <w:rPr>
          <w:rFonts w:ascii="Times New Roman" w:hAnsi="Times New Roman" w:cs="Times New Roman"/>
          <w:color w:val="000000" w:themeColor="text1"/>
          <w:sz w:val="28"/>
          <w:szCs w:val="28"/>
          <w:lang w:eastAsia="uk-UA"/>
        </w:rPr>
        <w:t>’</w:t>
      </w:r>
      <w:r>
        <w:rPr>
          <w:rFonts w:ascii="Times New Roman" w:hAnsi="Times New Roman" w:cs="Times New Roman"/>
          <w:color w:val="000000" w:themeColor="text1"/>
          <w:sz w:val="28"/>
          <w:szCs w:val="28"/>
          <w:lang w:val="uk-UA" w:eastAsia="uk-UA"/>
        </w:rPr>
        <w:t>єкти комунальної власності.</w:t>
      </w:r>
    </w:p>
    <w:p w:rsidR="00BF61BA" w:rsidRPr="00BF61BA" w:rsidRDefault="00BF61BA" w:rsidP="00FC1C6F">
      <w:pPr>
        <w:spacing w:after="0" w:line="240" w:lineRule="auto"/>
        <w:ind w:firstLine="567"/>
        <w:jc w:val="both"/>
        <w:rPr>
          <w:rFonts w:ascii="Times New Roman" w:hAnsi="Times New Roman" w:cs="Times New Roman"/>
          <w:color w:val="000000" w:themeColor="text1"/>
          <w:sz w:val="16"/>
          <w:szCs w:val="16"/>
          <w:vertAlign w:val="superscript"/>
          <w:lang w:val="uk-UA" w:eastAsia="uk-UA"/>
        </w:rPr>
      </w:pPr>
    </w:p>
    <w:p w:rsidR="00A25646" w:rsidRDefault="00A25646" w:rsidP="00A25646">
      <w:pPr>
        <w:spacing w:after="0" w:line="240" w:lineRule="auto"/>
        <w:jc w:val="both"/>
        <w:rPr>
          <w:rFonts w:ascii="Times New Roman" w:hAnsi="Times New Roman" w:cs="Times New Roman"/>
          <w:color w:val="000000" w:themeColor="text1"/>
          <w:sz w:val="28"/>
          <w:szCs w:val="28"/>
          <w:lang w:val="en-US" w:eastAsia="uk-UA"/>
        </w:rPr>
      </w:pPr>
      <w:r>
        <w:rPr>
          <w:noProof/>
          <w:lang w:eastAsia="ru-RU"/>
        </w:rPr>
        <w:drawing>
          <wp:inline distT="0" distB="0" distL="0" distR="0">
            <wp:extent cx="3155950" cy="1847850"/>
            <wp:effectExtent l="0" t="0" r="6350" b="0"/>
            <wp:docPr id="61"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Pr>
          <w:noProof/>
          <w:lang w:eastAsia="ru-RU"/>
        </w:rPr>
        <w:drawing>
          <wp:inline distT="0" distB="0" distL="0" distR="0">
            <wp:extent cx="2667000" cy="1847850"/>
            <wp:effectExtent l="0" t="0" r="0" b="0"/>
            <wp:docPr id="62"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A25646" w:rsidRDefault="00A25646" w:rsidP="00A25646">
      <w:pPr>
        <w:spacing w:after="0" w:line="240" w:lineRule="auto"/>
        <w:jc w:val="center"/>
        <w:rPr>
          <w:rFonts w:ascii="Times New Roman" w:hAnsi="Times New Roman" w:cs="Times New Roman"/>
          <w:color w:val="000000" w:themeColor="text1"/>
          <w:sz w:val="28"/>
          <w:szCs w:val="28"/>
          <w:lang w:val="en-US" w:eastAsia="uk-UA"/>
        </w:rPr>
      </w:pPr>
      <w:r>
        <w:rPr>
          <w:noProof/>
          <w:lang w:eastAsia="ru-RU"/>
        </w:rPr>
        <w:lastRenderedPageBreak/>
        <w:drawing>
          <wp:inline distT="0" distB="0" distL="0" distR="0">
            <wp:extent cx="4133850" cy="2143125"/>
            <wp:effectExtent l="0" t="0" r="0" b="0"/>
            <wp:docPr id="63"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9654DF" w:rsidRDefault="009654DF" w:rsidP="00A25646">
      <w:pPr>
        <w:spacing w:after="0" w:line="240" w:lineRule="auto"/>
        <w:jc w:val="center"/>
        <w:rPr>
          <w:rFonts w:ascii="Times New Roman" w:hAnsi="Times New Roman" w:cs="Times New Roman"/>
          <w:color w:val="000000" w:themeColor="text1"/>
          <w:sz w:val="28"/>
          <w:szCs w:val="28"/>
          <w:lang w:val="en-US" w:eastAsia="uk-UA"/>
        </w:rPr>
      </w:pPr>
    </w:p>
    <w:p w:rsidR="00A25646" w:rsidRDefault="00A25646" w:rsidP="00A25646">
      <w:pPr>
        <w:spacing w:after="0" w:line="240" w:lineRule="auto"/>
        <w:jc w:val="center"/>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Основні показники приватизації об’єктів комунальної власності</w:t>
      </w:r>
    </w:p>
    <w:p w:rsidR="00A25646" w:rsidRPr="00C3582E" w:rsidRDefault="00A25646" w:rsidP="00A25646">
      <w:pPr>
        <w:spacing w:after="0" w:line="240" w:lineRule="auto"/>
        <w:jc w:val="both"/>
        <w:rPr>
          <w:rFonts w:ascii="Times New Roman" w:hAnsi="Times New Roman" w:cs="Times New Roman"/>
          <w:color w:val="000000" w:themeColor="text1"/>
          <w:sz w:val="28"/>
          <w:szCs w:val="28"/>
          <w:lang w:val="uk-UA" w:eastAsia="uk-UA"/>
        </w:rPr>
      </w:pPr>
    </w:p>
    <w:tbl>
      <w:tblPr>
        <w:tblStyle w:val="a4"/>
        <w:tblW w:w="0" w:type="auto"/>
        <w:tblLook w:val="04A0" w:firstRow="1" w:lastRow="0" w:firstColumn="1" w:lastColumn="0" w:noHBand="0" w:noVBand="1"/>
      </w:tblPr>
      <w:tblGrid>
        <w:gridCol w:w="3871"/>
        <w:gridCol w:w="1401"/>
        <w:gridCol w:w="1531"/>
        <w:gridCol w:w="1121"/>
        <w:gridCol w:w="1505"/>
      </w:tblGrid>
      <w:tr w:rsidR="00A25646" w:rsidTr="00C31CE8">
        <w:tc>
          <w:tcPr>
            <w:tcW w:w="3936" w:type="dxa"/>
          </w:tcPr>
          <w:p w:rsidR="00A25646" w:rsidRDefault="00A25646" w:rsidP="00C31CE8">
            <w:pPr>
              <w:jc w:val="center"/>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Показник</w:t>
            </w:r>
          </w:p>
        </w:tc>
        <w:tc>
          <w:tcPr>
            <w:tcW w:w="1417" w:type="dxa"/>
          </w:tcPr>
          <w:p w:rsidR="00A25646" w:rsidRDefault="00A25646" w:rsidP="00C31CE8">
            <w:pPr>
              <w:jc w:val="center"/>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2014</w:t>
            </w:r>
          </w:p>
          <w:p w:rsidR="00A25646" w:rsidRDefault="00A25646" w:rsidP="00C31CE8">
            <w:pPr>
              <w:jc w:val="center"/>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рік</w:t>
            </w:r>
          </w:p>
        </w:tc>
        <w:tc>
          <w:tcPr>
            <w:tcW w:w="1559" w:type="dxa"/>
          </w:tcPr>
          <w:p w:rsidR="00A25646" w:rsidRDefault="00A25646" w:rsidP="00C31CE8">
            <w:pPr>
              <w:jc w:val="center"/>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2015</w:t>
            </w:r>
          </w:p>
          <w:p w:rsidR="00A25646" w:rsidRDefault="00A25646" w:rsidP="00C31CE8">
            <w:pPr>
              <w:jc w:val="center"/>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рік</w:t>
            </w:r>
          </w:p>
        </w:tc>
        <w:tc>
          <w:tcPr>
            <w:tcW w:w="1134" w:type="dxa"/>
          </w:tcPr>
          <w:p w:rsidR="00A25646" w:rsidRDefault="00A25646" w:rsidP="00C31CE8">
            <w:pPr>
              <w:jc w:val="center"/>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2016 рік</w:t>
            </w:r>
          </w:p>
        </w:tc>
        <w:tc>
          <w:tcPr>
            <w:tcW w:w="1525" w:type="dxa"/>
          </w:tcPr>
          <w:p w:rsidR="00A25646" w:rsidRDefault="00A25646" w:rsidP="00C31CE8">
            <w:pPr>
              <w:jc w:val="center"/>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8 міс.</w:t>
            </w:r>
          </w:p>
          <w:p w:rsidR="00A25646" w:rsidRDefault="00A25646" w:rsidP="00C31CE8">
            <w:pPr>
              <w:jc w:val="center"/>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2017 року</w:t>
            </w:r>
          </w:p>
        </w:tc>
      </w:tr>
      <w:tr w:rsidR="00A25646" w:rsidTr="00C31CE8">
        <w:tc>
          <w:tcPr>
            <w:tcW w:w="3936" w:type="dxa"/>
          </w:tcPr>
          <w:p w:rsidR="00A25646" w:rsidRDefault="00A25646" w:rsidP="00C31CE8">
            <w:pPr>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Кількість приватизованих об’єктів, од.</w:t>
            </w:r>
          </w:p>
        </w:tc>
        <w:tc>
          <w:tcPr>
            <w:tcW w:w="1417" w:type="dxa"/>
          </w:tcPr>
          <w:p w:rsidR="00A25646" w:rsidRDefault="00A25646" w:rsidP="00C31CE8">
            <w:pPr>
              <w:jc w:val="center"/>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5</w:t>
            </w:r>
          </w:p>
        </w:tc>
        <w:tc>
          <w:tcPr>
            <w:tcW w:w="1559" w:type="dxa"/>
          </w:tcPr>
          <w:p w:rsidR="00A25646" w:rsidRDefault="00A25646" w:rsidP="00C31CE8">
            <w:pPr>
              <w:jc w:val="center"/>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w:t>
            </w:r>
          </w:p>
        </w:tc>
        <w:tc>
          <w:tcPr>
            <w:tcW w:w="1134" w:type="dxa"/>
          </w:tcPr>
          <w:p w:rsidR="00A25646" w:rsidRDefault="00A25646" w:rsidP="00C31CE8">
            <w:pPr>
              <w:jc w:val="center"/>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w:t>
            </w:r>
          </w:p>
        </w:tc>
        <w:tc>
          <w:tcPr>
            <w:tcW w:w="1525" w:type="dxa"/>
          </w:tcPr>
          <w:p w:rsidR="00A25646" w:rsidRDefault="00A25646" w:rsidP="00C31CE8">
            <w:pPr>
              <w:jc w:val="center"/>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13</w:t>
            </w:r>
          </w:p>
        </w:tc>
      </w:tr>
      <w:tr w:rsidR="00A25646" w:rsidTr="00C31CE8">
        <w:tc>
          <w:tcPr>
            <w:tcW w:w="3936" w:type="dxa"/>
          </w:tcPr>
          <w:p w:rsidR="00A25646" w:rsidRDefault="00A25646" w:rsidP="00C31CE8">
            <w:pPr>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Загальна площа приватизова-</w:t>
            </w:r>
          </w:p>
          <w:p w:rsidR="00A25646" w:rsidRPr="00C61072" w:rsidRDefault="00A25646" w:rsidP="00C31CE8">
            <w:pPr>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них об’єктів, м</w:t>
            </w:r>
            <w:r>
              <w:rPr>
                <w:rFonts w:ascii="Times New Roman" w:hAnsi="Times New Roman" w:cs="Times New Roman"/>
                <w:color w:val="000000" w:themeColor="text1"/>
                <w:sz w:val="28"/>
                <w:szCs w:val="28"/>
                <w:vertAlign w:val="superscript"/>
                <w:lang w:val="uk-UA" w:eastAsia="uk-UA"/>
              </w:rPr>
              <w:t>2</w:t>
            </w:r>
          </w:p>
        </w:tc>
        <w:tc>
          <w:tcPr>
            <w:tcW w:w="1417" w:type="dxa"/>
          </w:tcPr>
          <w:p w:rsidR="00A25646" w:rsidRDefault="00A25646" w:rsidP="00C31CE8">
            <w:pPr>
              <w:jc w:val="center"/>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2040,6</w:t>
            </w:r>
          </w:p>
        </w:tc>
        <w:tc>
          <w:tcPr>
            <w:tcW w:w="1559" w:type="dxa"/>
          </w:tcPr>
          <w:p w:rsidR="00A25646" w:rsidRDefault="00A25646" w:rsidP="00C31CE8">
            <w:pPr>
              <w:jc w:val="center"/>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w:t>
            </w:r>
          </w:p>
        </w:tc>
        <w:tc>
          <w:tcPr>
            <w:tcW w:w="1134" w:type="dxa"/>
          </w:tcPr>
          <w:p w:rsidR="00A25646" w:rsidRDefault="00A25646" w:rsidP="00C31CE8">
            <w:pPr>
              <w:jc w:val="center"/>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w:t>
            </w:r>
          </w:p>
        </w:tc>
        <w:tc>
          <w:tcPr>
            <w:tcW w:w="1525" w:type="dxa"/>
          </w:tcPr>
          <w:p w:rsidR="00A25646" w:rsidRDefault="00A25646" w:rsidP="00C31CE8">
            <w:pPr>
              <w:jc w:val="center"/>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1045,2</w:t>
            </w:r>
          </w:p>
        </w:tc>
      </w:tr>
      <w:tr w:rsidR="00A25646" w:rsidTr="00C31CE8">
        <w:tc>
          <w:tcPr>
            <w:tcW w:w="3936" w:type="dxa"/>
          </w:tcPr>
          <w:p w:rsidR="00A25646" w:rsidRDefault="00A25646" w:rsidP="00C31CE8">
            <w:pPr>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Обсяг надходжень від приватизації, млн. грн.</w:t>
            </w:r>
          </w:p>
        </w:tc>
        <w:tc>
          <w:tcPr>
            <w:tcW w:w="1417" w:type="dxa"/>
          </w:tcPr>
          <w:p w:rsidR="00A25646" w:rsidRDefault="00A25646" w:rsidP="00C31CE8">
            <w:pPr>
              <w:jc w:val="center"/>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3,2</w:t>
            </w:r>
          </w:p>
        </w:tc>
        <w:tc>
          <w:tcPr>
            <w:tcW w:w="1559" w:type="dxa"/>
          </w:tcPr>
          <w:p w:rsidR="00A25646" w:rsidRDefault="00A25646" w:rsidP="00C31CE8">
            <w:pPr>
              <w:jc w:val="center"/>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w:t>
            </w:r>
          </w:p>
        </w:tc>
        <w:tc>
          <w:tcPr>
            <w:tcW w:w="1134" w:type="dxa"/>
          </w:tcPr>
          <w:p w:rsidR="00A25646" w:rsidRDefault="00A25646" w:rsidP="00C31CE8">
            <w:pPr>
              <w:jc w:val="center"/>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w:t>
            </w:r>
          </w:p>
        </w:tc>
        <w:tc>
          <w:tcPr>
            <w:tcW w:w="1525" w:type="dxa"/>
          </w:tcPr>
          <w:p w:rsidR="00A25646" w:rsidRDefault="00A25646" w:rsidP="00C31CE8">
            <w:pPr>
              <w:jc w:val="center"/>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5,8</w:t>
            </w:r>
          </w:p>
        </w:tc>
      </w:tr>
    </w:tbl>
    <w:p w:rsidR="00A25646" w:rsidRDefault="00A25646" w:rsidP="00A25646">
      <w:pPr>
        <w:spacing w:after="0" w:line="240" w:lineRule="auto"/>
        <w:jc w:val="both"/>
        <w:rPr>
          <w:rFonts w:ascii="Times New Roman" w:hAnsi="Times New Roman" w:cs="Times New Roman"/>
          <w:color w:val="000000" w:themeColor="text1"/>
          <w:sz w:val="28"/>
          <w:szCs w:val="28"/>
          <w:lang w:val="uk-UA" w:eastAsia="uk-UA"/>
        </w:rPr>
      </w:pPr>
    </w:p>
    <w:p w:rsidR="00A25646" w:rsidRDefault="00A25646" w:rsidP="00FC1C6F">
      <w:pPr>
        <w:spacing w:after="0" w:line="240" w:lineRule="auto"/>
        <w:ind w:firstLine="567"/>
        <w:jc w:val="both"/>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ab/>
        <w:t>Проблемними питаннями залишаються:</w:t>
      </w:r>
    </w:p>
    <w:p w:rsidR="00A25646" w:rsidRDefault="00A25646" w:rsidP="00FC1C6F">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не на всі об’єкти нерухомого майна комунальної власності міста оформлені правовстановлюючі документи;</w:t>
      </w:r>
    </w:p>
    <w:p w:rsidR="00A25646" w:rsidRPr="000E30E6" w:rsidRDefault="00A25646" w:rsidP="00FC1C6F">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незавершеність процесу формування електронної бази даних об’єктів нерухомого майна</w:t>
      </w:r>
      <w:r w:rsidR="00EA2DAE">
        <w:rPr>
          <w:rFonts w:ascii="Times New Roman" w:hAnsi="Times New Roman" w:cs="Times New Roman"/>
          <w:color w:val="000000" w:themeColor="text1"/>
          <w:sz w:val="28"/>
          <w:szCs w:val="28"/>
          <w:lang w:val="uk-UA" w:eastAsia="uk-UA"/>
        </w:rPr>
        <w:t>;</w:t>
      </w:r>
    </w:p>
    <w:p w:rsidR="00A25646" w:rsidRDefault="00A25646" w:rsidP="00FC1C6F">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наявність заборгованості за оренду нерухомого майна.</w:t>
      </w:r>
    </w:p>
    <w:p w:rsidR="00A25646" w:rsidRDefault="00A25646" w:rsidP="00FC1C6F">
      <w:pPr>
        <w:pStyle w:val="a3"/>
        <w:spacing w:after="0" w:line="240" w:lineRule="auto"/>
        <w:ind w:left="1134" w:hanging="425"/>
        <w:jc w:val="both"/>
        <w:rPr>
          <w:rFonts w:ascii="Times New Roman" w:hAnsi="Times New Roman" w:cs="Times New Roman"/>
          <w:color w:val="000000" w:themeColor="text1"/>
          <w:sz w:val="28"/>
          <w:szCs w:val="28"/>
          <w:lang w:val="uk-UA" w:eastAsia="uk-UA"/>
        </w:rPr>
      </w:pPr>
    </w:p>
    <w:p w:rsidR="00A25646" w:rsidRPr="008C304A" w:rsidRDefault="00A25646" w:rsidP="00A25646">
      <w:pPr>
        <w:spacing w:after="0" w:line="240" w:lineRule="auto"/>
        <w:jc w:val="both"/>
        <w:rPr>
          <w:rFonts w:ascii="Times New Roman" w:hAnsi="Times New Roman" w:cs="Times New Roman"/>
          <w:b/>
          <w:color w:val="000000" w:themeColor="text1"/>
          <w:sz w:val="28"/>
          <w:szCs w:val="28"/>
          <w:lang w:val="uk-UA" w:eastAsia="uk-UA"/>
        </w:rPr>
      </w:pPr>
      <w:r w:rsidRPr="008C304A">
        <w:rPr>
          <w:rFonts w:ascii="Times New Roman" w:hAnsi="Times New Roman" w:cs="Times New Roman"/>
          <w:b/>
          <w:color w:val="000000" w:themeColor="text1"/>
          <w:sz w:val="28"/>
          <w:szCs w:val="28"/>
          <w:lang w:val="uk-UA" w:eastAsia="uk-UA"/>
        </w:rPr>
        <w:t>Управління земельними ресурсами</w:t>
      </w:r>
    </w:p>
    <w:p w:rsidR="00A25646" w:rsidRDefault="00A25646" w:rsidP="00FC1C6F">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Загальна площа земель міста складає 6083 га, з них: забудованих земель – 3946,9 га, ріллі – 1249,4 га, багаторічних насаджень – 205,8 га, сіножатей – 23,7 га, пасовищ – 16,0 га, лісів та інших лісовкритих площ – 144,6 га, відкритих земель без рослинного покриву – 315,3 га, під водою – 157,8 га, заболочених земель – 3,0 га.</w:t>
      </w:r>
    </w:p>
    <w:p w:rsidR="00A25646" w:rsidRDefault="00A25646" w:rsidP="00A25646">
      <w:pPr>
        <w:spacing w:after="0" w:line="240" w:lineRule="auto"/>
        <w:jc w:val="center"/>
        <w:rPr>
          <w:rFonts w:ascii="Times New Roman" w:hAnsi="Times New Roman" w:cs="Times New Roman"/>
          <w:color w:val="000000" w:themeColor="text1"/>
          <w:sz w:val="28"/>
          <w:szCs w:val="28"/>
          <w:lang w:val="en-US" w:eastAsia="uk-UA"/>
        </w:rPr>
      </w:pPr>
      <w:r>
        <w:rPr>
          <w:noProof/>
          <w:lang w:eastAsia="ru-RU"/>
        </w:rPr>
        <w:lastRenderedPageBreak/>
        <w:drawing>
          <wp:inline distT="0" distB="0" distL="0" distR="0">
            <wp:extent cx="4254500" cy="2508250"/>
            <wp:effectExtent l="0" t="0" r="0" b="6350"/>
            <wp:docPr id="64"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A25646" w:rsidRPr="007C218B" w:rsidRDefault="00A25646" w:rsidP="00A25646">
      <w:pPr>
        <w:spacing w:after="0" w:line="240" w:lineRule="auto"/>
        <w:jc w:val="both"/>
        <w:rPr>
          <w:rFonts w:ascii="Times New Roman" w:hAnsi="Times New Roman" w:cs="Times New Roman"/>
          <w:color w:val="000000" w:themeColor="text1"/>
          <w:sz w:val="28"/>
          <w:szCs w:val="28"/>
          <w:lang w:val="en-US" w:eastAsia="uk-UA"/>
        </w:rPr>
      </w:pPr>
    </w:p>
    <w:p w:rsidR="00A25646" w:rsidRPr="00A27FD8" w:rsidRDefault="00A25646" w:rsidP="00FC1C6F">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В структурі земель за формою впливу на природнє середовище найбільша частка 34% припадає на землі, що знаходяться у власності та користуванні громадян (2069,8 га). Вагоме значення мають землі закладів, установ і організацій – 19,3% або 1192,8 га, землі загального користування займають 11,7% або 711,7 га, землі промислових та інших підприємств – 11,0% (654,2 га), землі оборони – 6,4% (387,1 га), землі не надані у власність та постійне користування – 6,2% (377,7 га), землі підприємств та організацій транспорту і зв’язку – 5,5% (331,9 га), землі сільськогосподарських підприємств – 3,0% (182,5 га).</w:t>
      </w:r>
    </w:p>
    <w:p w:rsidR="00A25646" w:rsidRDefault="00A25646" w:rsidP="00A25646">
      <w:pPr>
        <w:spacing w:after="0" w:line="240" w:lineRule="auto"/>
        <w:ind w:firstLine="708"/>
        <w:jc w:val="both"/>
        <w:rPr>
          <w:rFonts w:ascii="Times New Roman" w:hAnsi="Times New Roman" w:cs="Times New Roman"/>
          <w:color w:val="000000" w:themeColor="text1"/>
          <w:sz w:val="28"/>
          <w:szCs w:val="28"/>
          <w:lang w:val="en-US" w:eastAsia="uk-UA"/>
        </w:rPr>
      </w:pPr>
      <w:r>
        <w:rPr>
          <w:noProof/>
          <w:lang w:eastAsia="ru-RU"/>
        </w:rPr>
        <w:drawing>
          <wp:inline distT="0" distB="0" distL="0" distR="0">
            <wp:extent cx="5064125" cy="3479801"/>
            <wp:effectExtent l="0" t="0" r="3175" b="6350"/>
            <wp:docPr id="65"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97857" w:rsidRDefault="00A25646" w:rsidP="00A25646">
      <w:pPr>
        <w:spacing w:after="0" w:line="240" w:lineRule="auto"/>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ab/>
      </w:r>
    </w:p>
    <w:p w:rsidR="00820FB4" w:rsidRDefault="00820FB4" w:rsidP="00FC1C6F">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За 9 місяців 2017 року передано суб’</w:t>
      </w:r>
      <w:r w:rsidRPr="00820FB4">
        <w:rPr>
          <w:rFonts w:ascii="Times New Roman" w:hAnsi="Times New Roman" w:cs="Times New Roman"/>
          <w:color w:val="000000" w:themeColor="text1"/>
          <w:sz w:val="28"/>
          <w:szCs w:val="28"/>
          <w:lang w:eastAsia="uk-UA"/>
        </w:rPr>
        <w:t xml:space="preserve">єктам господарювання </w:t>
      </w:r>
      <w:r>
        <w:rPr>
          <w:rFonts w:ascii="Times New Roman" w:hAnsi="Times New Roman" w:cs="Times New Roman"/>
          <w:color w:val="000000" w:themeColor="text1"/>
          <w:sz w:val="28"/>
          <w:szCs w:val="28"/>
          <w:lang w:val="uk-UA" w:eastAsia="uk-UA"/>
        </w:rPr>
        <w:t xml:space="preserve">в оренду 39 земельних ділянок загальною площею 10,3 га, продано 11 земельних </w:t>
      </w:r>
      <w:r>
        <w:rPr>
          <w:rFonts w:ascii="Times New Roman" w:hAnsi="Times New Roman" w:cs="Times New Roman"/>
          <w:color w:val="000000" w:themeColor="text1"/>
          <w:sz w:val="28"/>
          <w:szCs w:val="28"/>
          <w:lang w:val="uk-UA" w:eastAsia="uk-UA"/>
        </w:rPr>
        <w:lastRenderedPageBreak/>
        <w:t>ділянок, на яких розташовані об’</w:t>
      </w:r>
      <w:r w:rsidRPr="00820FB4">
        <w:rPr>
          <w:rFonts w:ascii="Times New Roman" w:hAnsi="Times New Roman" w:cs="Times New Roman"/>
          <w:color w:val="000000" w:themeColor="text1"/>
          <w:sz w:val="28"/>
          <w:szCs w:val="28"/>
          <w:lang w:eastAsia="uk-UA"/>
        </w:rPr>
        <w:t xml:space="preserve">єкти нерухомого майна загальною площею </w:t>
      </w:r>
      <w:r w:rsidRPr="00D9250E">
        <w:rPr>
          <w:rFonts w:ascii="Times New Roman" w:hAnsi="Times New Roman" w:cs="Times New Roman"/>
          <w:color w:val="000000" w:themeColor="text1"/>
          <w:sz w:val="28"/>
          <w:szCs w:val="28"/>
          <w:lang w:eastAsia="uk-UA"/>
        </w:rPr>
        <w:t>0,87 га.</w:t>
      </w:r>
    </w:p>
    <w:p w:rsidR="00D01219" w:rsidRDefault="00D01219" w:rsidP="00820FB4">
      <w:pPr>
        <w:spacing w:after="0" w:line="240" w:lineRule="auto"/>
        <w:ind w:firstLine="708"/>
        <w:jc w:val="both"/>
        <w:rPr>
          <w:rFonts w:ascii="Times New Roman" w:hAnsi="Times New Roman" w:cs="Times New Roman"/>
          <w:color w:val="000000" w:themeColor="text1"/>
          <w:sz w:val="28"/>
          <w:szCs w:val="28"/>
          <w:lang w:val="uk-UA" w:eastAsia="uk-UA"/>
        </w:rPr>
      </w:pPr>
    </w:p>
    <w:p w:rsidR="00820FB4" w:rsidRDefault="005A7EFC" w:rsidP="00D01219">
      <w:pPr>
        <w:spacing w:after="0" w:line="240" w:lineRule="auto"/>
        <w:ind w:hanging="567"/>
        <w:jc w:val="both"/>
        <w:rPr>
          <w:rFonts w:ascii="Times New Roman" w:hAnsi="Times New Roman" w:cs="Times New Roman"/>
          <w:color w:val="000000" w:themeColor="text1"/>
          <w:sz w:val="28"/>
          <w:szCs w:val="28"/>
          <w:lang w:val="uk-UA" w:eastAsia="uk-UA"/>
        </w:rPr>
      </w:pPr>
      <w:r w:rsidRPr="005A7EFC">
        <w:rPr>
          <w:rFonts w:ascii="Times New Roman" w:hAnsi="Times New Roman" w:cs="Times New Roman"/>
          <w:noProof/>
          <w:color w:val="000000" w:themeColor="text1"/>
          <w:sz w:val="28"/>
          <w:szCs w:val="28"/>
          <w:lang w:eastAsia="ru-RU"/>
        </w:rPr>
        <w:drawing>
          <wp:inline distT="0" distB="0" distL="0" distR="0">
            <wp:extent cx="3171825" cy="2981325"/>
            <wp:effectExtent l="0" t="0" r="0" b="0"/>
            <wp:docPr id="10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Pr>
          <w:rFonts w:ascii="Times New Roman" w:hAnsi="Times New Roman" w:cs="Times New Roman"/>
          <w:color w:val="000000" w:themeColor="text1"/>
          <w:sz w:val="28"/>
          <w:szCs w:val="28"/>
          <w:lang w:val="uk-UA" w:eastAsia="uk-UA"/>
        </w:rPr>
        <w:t xml:space="preserve"> </w:t>
      </w:r>
      <w:r w:rsidR="009A170F">
        <w:rPr>
          <w:noProof/>
          <w:lang w:eastAsia="ru-RU"/>
        </w:rPr>
        <w:drawing>
          <wp:inline distT="0" distB="0" distL="0" distR="0" wp14:anchorId="1D529F59" wp14:editId="79EAD3D4">
            <wp:extent cx="2905125" cy="2962275"/>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3340F8" w:rsidRDefault="003340F8" w:rsidP="005A7EFC">
      <w:pPr>
        <w:spacing w:after="0" w:line="240" w:lineRule="auto"/>
        <w:jc w:val="both"/>
        <w:rPr>
          <w:rFonts w:ascii="Times New Roman" w:hAnsi="Times New Roman" w:cs="Times New Roman"/>
          <w:color w:val="000000" w:themeColor="text1"/>
          <w:sz w:val="28"/>
          <w:szCs w:val="28"/>
          <w:lang w:val="uk-UA" w:eastAsia="uk-UA"/>
        </w:rPr>
      </w:pPr>
    </w:p>
    <w:p w:rsidR="003340F8" w:rsidRPr="00820FB4" w:rsidRDefault="00D01219" w:rsidP="00D01219">
      <w:pPr>
        <w:spacing w:after="0" w:line="240" w:lineRule="auto"/>
        <w:ind w:hanging="567"/>
        <w:jc w:val="both"/>
        <w:rPr>
          <w:rFonts w:ascii="Times New Roman" w:hAnsi="Times New Roman" w:cs="Times New Roman"/>
          <w:color w:val="000000" w:themeColor="text1"/>
          <w:sz w:val="28"/>
          <w:szCs w:val="28"/>
          <w:lang w:val="uk-UA" w:eastAsia="uk-UA"/>
        </w:rPr>
      </w:pPr>
      <w:r w:rsidRPr="00D01219">
        <w:rPr>
          <w:rFonts w:ascii="Times New Roman" w:hAnsi="Times New Roman" w:cs="Times New Roman"/>
          <w:noProof/>
          <w:color w:val="000000" w:themeColor="text1"/>
          <w:sz w:val="28"/>
          <w:szCs w:val="28"/>
          <w:lang w:eastAsia="ru-RU"/>
        </w:rPr>
        <w:drawing>
          <wp:inline distT="0" distB="0" distL="0" distR="0">
            <wp:extent cx="3019425" cy="2667000"/>
            <wp:effectExtent l="19050" t="0" r="0" b="0"/>
            <wp:docPr id="10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Pr>
          <w:rFonts w:ascii="Times New Roman" w:hAnsi="Times New Roman" w:cs="Times New Roman"/>
          <w:color w:val="000000" w:themeColor="text1"/>
          <w:sz w:val="28"/>
          <w:szCs w:val="28"/>
          <w:lang w:val="uk-UA" w:eastAsia="uk-UA"/>
        </w:rPr>
        <w:t xml:space="preserve"> </w:t>
      </w:r>
      <w:r w:rsidR="0042729D">
        <w:rPr>
          <w:noProof/>
          <w:lang w:eastAsia="ru-RU"/>
        </w:rPr>
        <w:drawing>
          <wp:inline distT="0" distB="0" distL="0" distR="0" wp14:anchorId="2F0FD7B2" wp14:editId="601856BF">
            <wp:extent cx="3076575" cy="2686050"/>
            <wp:effectExtent l="0" t="0" r="0"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820FB4" w:rsidRDefault="00820FB4" w:rsidP="00A25646">
      <w:pPr>
        <w:spacing w:after="0" w:line="240" w:lineRule="auto"/>
        <w:jc w:val="both"/>
        <w:rPr>
          <w:rFonts w:ascii="Times New Roman" w:hAnsi="Times New Roman" w:cs="Times New Roman"/>
          <w:color w:val="000000" w:themeColor="text1"/>
          <w:sz w:val="28"/>
          <w:szCs w:val="28"/>
          <w:lang w:val="uk-UA" w:eastAsia="uk-UA"/>
        </w:rPr>
      </w:pPr>
    </w:p>
    <w:p w:rsidR="00A25646" w:rsidRDefault="00A25646" w:rsidP="001B7A39">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У комунальній власності знаходяться 68,1 га земель, в приватній власності – 642,8 га, на умовах оренди – 884,2 га.</w:t>
      </w:r>
    </w:p>
    <w:p w:rsidR="00A25646" w:rsidRDefault="00A25646" w:rsidP="00FC1C6F">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 xml:space="preserve">Невирішеними проблемами залишаються: </w:t>
      </w:r>
    </w:p>
    <w:p w:rsidR="00A25646" w:rsidRPr="00904D29" w:rsidRDefault="00A25646" w:rsidP="00FC1C6F">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sidRPr="00904D29">
        <w:rPr>
          <w:rFonts w:ascii="Times New Roman" w:hAnsi="Times New Roman" w:cs="Times New Roman"/>
          <w:color w:val="000000" w:themeColor="text1"/>
          <w:sz w:val="28"/>
          <w:szCs w:val="28"/>
          <w:lang w:val="uk-UA" w:eastAsia="uk-UA"/>
        </w:rPr>
        <w:t>не проведена в повному обсязі інвентаризація земель міста;</w:t>
      </w:r>
    </w:p>
    <w:p w:rsidR="00A25646" w:rsidRPr="00904D29" w:rsidRDefault="00A25646" w:rsidP="00FC1C6F">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sidRPr="00904D29">
        <w:rPr>
          <w:rFonts w:ascii="Times New Roman" w:hAnsi="Times New Roman" w:cs="Times New Roman"/>
          <w:color w:val="000000" w:themeColor="text1"/>
          <w:sz w:val="28"/>
          <w:szCs w:val="28"/>
          <w:lang w:val="uk-UA" w:eastAsia="uk-UA"/>
        </w:rPr>
        <w:t>невпорядкованість меж міста та прибережно-захисних смуг водних об’єктів;</w:t>
      </w:r>
    </w:p>
    <w:p w:rsidR="00A25646" w:rsidRPr="00904D29" w:rsidRDefault="00A25646" w:rsidP="00FC1C6F">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sidRPr="00904D29">
        <w:rPr>
          <w:rFonts w:ascii="Times New Roman" w:hAnsi="Times New Roman" w:cs="Times New Roman"/>
          <w:color w:val="000000" w:themeColor="text1"/>
          <w:sz w:val="28"/>
          <w:szCs w:val="28"/>
          <w:lang w:val="uk-UA" w:eastAsia="uk-UA"/>
        </w:rPr>
        <w:t>неефективне використання земельних ділянок</w:t>
      </w:r>
      <w:r w:rsidR="00904D29" w:rsidRPr="00904D29">
        <w:rPr>
          <w:rFonts w:ascii="Times New Roman" w:hAnsi="Times New Roman" w:cs="Times New Roman"/>
          <w:color w:val="000000" w:themeColor="text1"/>
          <w:sz w:val="28"/>
          <w:szCs w:val="28"/>
          <w:lang w:eastAsia="uk-UA"/>
        </w:rPr>
        <w:t xml:space="preserve"> та територій міст</w:t>
      </w:r>
      <w:r w:rsidR="00904D29" w:rsidRPr="00904D29">
        <w:rPr>
          <w:rFonts w:ascii="Times New Roman" w:hAnsi="Times New Roman" w:cs="Times New Roman"/>
          <w:color w:val="000000" w:themeColor="text1"/>
          <w:sz w:val="28"/>
          <w:szCs w:val="28"/>
          <w:lang w:val="uk-UA" w:eastAsia="uk-UA"/>
        </w:rPr>
        <w:t>а.</w:t>
      </w:r>
    </w:p>
    <w:p w:rsidR="00A25646" w:rsidRDefault="00A25646" w:rsidP="00A25646">
      <w:pPr>
        <w:spacing w:after="0" w:line="240" w:lineRule="auto"/>
        <w:jc w:val="both"/>
        <w:rPr>
          <w:rFonts w:ascii="Times New Roman" w:hAnsi="Times New Roman" w:cs="Times New Roman"/>
          <w:b/>
          <w:color w:val="000000" w:themeColor="text1"/>
          <w:sz w:val="28"/>
          <w:szCs w:val="28"/>
          <w:lang w:val="uk-UA" w:eastAsia="uk-UA"/>
        </w:rPr>
      </w:pPr>
    </w:p>
    <w:p w:rsidR="008143AD" w:rsidRDefault="008143AD" w:rsidP="00A25646">
      <w:pPr>
        <w:spacing w:after="0" w:line="240" w:lineRule="auto"/>
        <w:jc w:val="both"/>
        <w:rPr>
          <w:rFonts w:ascii="Times New Roman" w:hAnsi="Times New Roman" w:cs="Times New Roman"/>
          <w:b/>
          <w:color w:val="000000" w:themeColor="text1"/>
          <w:sz w:val="28"/>
          <w:szCs w:val="28"/>
          <w:lang w:val="uk-UA" w:eastAsia="uk-UA"/>
        </w:rPr>
      </w:pPr>
    </w:p>
    <w:p w:rsidR="008143AD" w:rsidRDefault="008143AD" w:rsidP="00A25646">
      <w:pPr>
        <w:spacing w:after="0" w:line="240" w:lineRule="auto"/>
        <w:jc w:val="both"/>
        <w:rPr>
          <w:rFonts w:ascii="Times New Roman" w:hAnsi="Times New Roman" w:cs="Times New Roman"/>
          <w:b/>
          <w:color w:val="000000" w:themeColor="text1"/>
          <w:sz w:val="28"/>
          <w:szCs w:val="28"/>
          <w:lang w:val="uk-UA" w:eastAsia="uk-UA"/>
        </w:rPr>
      </w:pPr>
    </w:p>
    <w:p w:rsidR="008143AD" w:rsidRDefault="008143AD" w:rsidP="00A25646">
      <w:pPr>
        <w:spacing w:after="0" w:line="240" w:lineRule="auto"/>
        <w:jc w:val="both"/>
        <w:rPr>
          <w:rFonts w:ascii="Times New Roman" w:hAnsi="Times New Roman" w:cs="Times New Roman"/>
          <w:b/>
          <w:color w:val="000000" w:themeColor="text1"/>
          <w:sz w:val="28"/>
          <w:szCs w:val="28"/>
          <w:lang w:val="uk-UA" w:eastAsia="uk-UA"/>
        </w:rPr>
      </w:pPr>
    </w:p>
    <w:p w:rsidR="00A25646" w:rsidRPr="00F56092" w:rsidRDefault="00A25646" w:rsidP="00A25646">
      <w:pPr>
        <w:spacing w:after="0" w:line="240" w:lineRule="auto"/>
        <w:jc w:val="both"/>
        <w:rPr>
          <w:rFonts w:ascii="Times New Roman" w:hAnsi="Times New Roman" w:cs="Times New Roman"/>
          <w:b/>
          <w:color w:val="000000" w:themeColor="text1"/>
          <w:sz w:val="28"/>
          <w:szCs w:val="28"/>
          <w:lang w:val="uk-UA" w:eastAsia="uk-UA"/>
        </w:rPr>
      </w:pPr>
      <w:r w:rsidRPr="00F56092">
        <w:rPr>
          <w:rFonts w:ascii="Times New Roman" w:hAnsi="Times New Roman" w:cs="Times New Roman"/>
          <w:b/>
          <w:color w:val="000000" w:themeColor="text1"/>
          <w:sz w:val="28"/>
          <w:szCs w:val="28"/>
          <w:lang w:val="uk-UA" w:eastAsia="uk-UA"/>
        </w:rPr>
        <w:lastRenderedPageBreak/>
        <w:t>Житлове господарство</w:t>
      </w:r>
    </w:p>
    <w:p w:rsidR="00A25646" w:rsidRDefault="00A25646" w:rsidP="005241A8">
      <w:pPr>
        <w:tabs>
          <w:tab w:val="left" w:pos="567"/>
        </w:tabs>
        <w:spacing w:after="0" w:line="240" w:lineRule="auto"/>
        <w:jc w:val="both"/>
        <w:rPr>
          <w:rFonts w:ascii="Times New Roman" w:hAnsi="Times New Roman" w:cs="Times New Roman"/>
          <w:color w:val="000000" w:themeColor="text1"/>
          <w:sz w:val="28"/>
          <w:szCs w:val="28"/>
          <w:lang w:val="uk-UA" w:eastAsia="uk-UA"/>
        </w:rPr>
      </w:pPr>
      <w:r>
        <w:rPr>
          <w:rFonts w:ascii="Times New Roman" w:hAnsi="Times New Roman" w:cs="Times New Roman"/>
          <w:color w:val="FF0000"/>
          <w:sz w:val="28"/>
          <w:szCs w:val="28"/>
          <w:lang w:val="uk-UA" w:eastAsia="uk-UA"/>
        </w:rPr>
        <w:tab/>
      </w:r>
      <w:r w:rsidR="00904D29">
        <w:rPr>
          <w:rFonts w:ascii="Times New Roman" w:hAnsi="Times New Roman" w:cs="Times New Roman"/>
          <w:color w:val="000000" w:themeColor="text1"/>
          <w:sz w:val="28"/>
          <w:szCs w:val="28"/>
          <w:lang w:val="uk-UA" w:eastAsia="uk-UA"/>
        </w:rPr>
        <w:t>Житловий фонд міста нараховує</w:t>
      </w:r>
      <w:r w:rsidRPr="00F56092">
        <w:rPr>
          <w:rFonts w:ascii="Times New Roman" w:hAnsi="Times New Roman" w:cs="Times New Roman"/>
          <w:color w:val="000000" w:themeColor="text1"/>
          <w:sz w:val="28"/>
          <w:szCs w:val="28"/>
          <w:lang w:val="uk-UA" w:eastAsia="uk-UA"/>
        </w:rPr>
        <w:t xml:space="preserve"> </w:t>
      </w:r>
      <w:r>
        <w:rPr>
          <w:rFonts w:ascii="Times New Roman" w:hAnsi="Times New Roman" w:cs="Times New Roman"/>
          <w:color w:val="000000" w:themeColor="text1"/>
          <w:sz w:val="28"/>
          <w:szCs w:val="28"/>
          <w:lang w:val="uk-UA" w:eastAsia="uk-UA"/>
        </w:rPr>
        <w:t>1196 багатоповерхових житлових будинків комунальної власності, з них ветхих – 166 та 25 аварійних; 240 ОСББ; 80 будинків житлово-будівельних кооперативів; 64 гуртожитки та 12961 будинок приватної забудови.</w:t>
      </w:r>
    </w:p>
    <w:p w:rsidR="00A25646" w:rsidRDefault="00A25646" w:rsidP="00A25646">
      <w:pPr>
        <w:spacing w:after="0" w:line="240" w:lineRule="auto"/>
        <w:jc w:val="both"/>
        <w:rPr>
          <w:rFonts w:ascii="Times New Roman" w:hAnsi="Times New Roman" w:cs="Times New Roman"/>
          <w:color w:val="000000" w:themeColor="text1"/>
          <w:sz w:val="28"/>
          <w:szCs w:val="28"/>
          <w:lang w:val="uk-UA" w:eastAsia="uk-UA"/>
        </w:rPr>
      </w:pPr>
    </w:p>
    <w:p w:rsidR="00A25646" w:rsidRDefault="00203135" w:rsidP="00A25646">
      <w:pPr>
        <w:spacing w:after="0" w:line="240" w:lineRule="auto"/>
        <w:jc w:val="center"/>
        <w:rPr>
          <w:rFonts w:ascii="Times New Roman" w:hAnsi="Times New Roman" w:cs="Times New Roman"/>
          <w:color w:val="000000" w:themeColor="text1"/>
          <w:sz w:val="28"/>
          <w:szCs w:val="28"/>
          <w:lang w:val="uk-UA" w:eastAsia="uk-UA"/>
        </w:rPr>
      </w:pPr>
      <w:r>
        <w:rPr>
          <w:noProof/>
          <w:lang w:eastAsia="ru-RU"/>
        </w:rPr>
        <w:drawing>
          <wp:inline distT="0" distB="0" distL="0" distR="0" wp14:anchorId="6A56C46D" wp14:editId="429A9349">
            <wp:extent cx="4406900" cy="2600325"/>
            <wp:effectExtent l="0" t="0" r="0" b="0"/>
            <wp:docPr id="48" name="Диаграмма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A25646" w:rsidRDefault="00A25646" w:rsidP="00A25646">
      <w:pPr>
        <w:spacing w:after="0" w:line="240" w:lineRule="auto"/>
        <w:jc w:val="center"/>
        <w:rPr>
          <w:rFonts w:ascii="Times New Roman" w:hAnsi="Times New Roman" w:cs="Times New Roman"/>
          <w:color w:val="000000" w:themeColor="text1"/>
          <w:sz w:val="28"/>
          <w:szCs w:val="28"/>
          <w:lang w:val="uk-UA" w:eastAsia="uk-UA"/>
        </w:rPr>
      </w:pPr>
    </w:p>
    <w:p w:rsidR="007601FE" w:rsidRPr="00AD0011" w:rsidRDefault="007601FE" w:rsidP="005241A8">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З кожним роком в місті зростає кількість створених ОСББ. Позитивна тенденція створення ОСББ пояснюється підвищенням рівня правової обізнаності співвласників багатоповерхових будинків та підтримки проведення ремонтів житлових будівель та їх інженерних мереж, реалізації енергоефективних заходів у багатоповерхових будинках на умовах спільного фінансування.</w:t>
      </w:r>
    </w:p>
    <w:p w:rsidR="007601FE" w:rsidRDefault="007601FE" w:rsidP="00A25646">
      <w:pPr>
        <w:spacing w:after="0" w:line="240" w:lineRule="auto"/>
        <w:jc w:val="center"/>
        <w:rPr>
          <w:rFonts w:ascii="Times New Roman" w:hAnsi="Times New Roman" w:cs="Times New Roman"/>
          <w:color w:val="000000" w:themeColor="text1"/>
          <w:sz w:val="28"/>
          <w:szCs w:val="28"/>
          <w:lang w:val="uk-UA" w:eastAsia="uk-UA"/>
        </w:rPr>
      </w:pPr>
    </w:p>
    <w:p w:rsidR="007601FE" w:rsidRDefault="00A25646" w:rsidP="007601FE">
      <w:pPr>
        <w:spacing w:after="0" w:line="240" w:lineRule="auto"/>
        <w:jc w:val="center"/>
        <w:rPr>
          <w:rFonts w:ascii="Times New Roman" w:hAnsi="Times New Roman" w:cs="Times New Roman"/>
          <w:color w:val="000000" w:themeColor="text1"/>
          <w:sz w:val="28"/>
          <w:szCs w:val="28"/>
          <w:lang w:val="uk-UA" w:eastAsia="uk-UA"/>
        </w:rPr>
      </w:pPr>
      <w:r>
        <w:rPr>
          <w:noProof/>
          <w:lang w:eastAsia="ru-RU"/>
        </w:rPr>
        <w:drawing>
          <wp:inline distT="0" distB="0" distL="0" distR="0">
            <wp:extent cx="3505200" cy="1663700"/>
            <wp:effectExtent l="0" t="0" r="0" b="0"/>
            <wp:docPr id="67"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7601FE" w:rsidRDefault="007601FE" w:rsidP="00A25646">
      <w:pPr>
        <w:spacing w:after="0" w:line="240" w:lineRule="auto"/>
        <w:jc w:val="both"/>
        <w:rPr>
          <w:rFonts w:ascii="Times New Roman" w:hAnsi="Times New Roman" w:cs="Times New Roman"/>
          <w:color w:val="000000" w:themeColor="text1"/>
          <w:sz w:val="28"/>
          <w:szCs w:val="28"/>
          <w:lang w:val="uk-UA" w:eastAsia="uk-UA"/>
        </w:rPr>
      </w:pPr>
    </w:p>
    <w:p w:rsidR="00600EA6" w:rsidRDefault="00601FBF" w:rsidP="00600EA6">
      <w:pPr>
        <w:tabs>
          <w:tab w:val="left" w:pos="567"/>
        </w:tabs>
        <w:spacing w:after="0" w:line="240" w:lineRule="auto"/>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ab/>
      </w:r>
    </w:p>
    <w:p w:rsidR="00A25646" w:rsidRDefault="003A7566" w:rsidP="00600EA6">
      <w:pPr>
        <w:tabs>
          <w:tab w:val="left" w:pos="567"/>
        </w:tabs>
        <w:spacing w:after="0" w:line="240" w:lineRule="auto"/>
        <w:jc w:val="both"/>
        <w:rPr>
          <w:rFonts w:ascii="Times New Roman" w:hAnsi="Times New Roman" w:cs="Times New Roman"/>
          <w:color w:val="000000" w:themeColor="text1"/>
          <w:sz w:val="28"/>
          <w:szCs w:val="28"/>
          <w:lang w:val="uk-UA" w:eastAsia="uk-UA"/>
        </w:rPr>
      </w:pPr>
      <w:r w:rsidRPr="003A7566">
        <w:rPr>
          <w:rFonts w:ascii="Times New Roman" w:hAnsi="Times New Roman" w:cs="Times New Roman"/>
          <w:noProof/>
          <w:color w:val="000000" w:themeColor="text1"/>
          <w:sz w:val="28"/>
          <w:szCs w:val="28"/>
          <w:lang w:eastAsia="ru-RU"/>
        </w:rPr>
        <w:lastRenderedPageBreak/>
        <w:drawing>
          <wp:inline distT="0" distB="0" distL="0" distR="0">
            <wp:extent cx="5010912" cy="2731008"/>
            <wp:effectExtent l="0" t="0" r="0" b="0"/>
            <wp:docPr id="2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600EA6" w:rsidRDefault="00600EA6" w:rsidP="00600EA6">
      <w:pPr>
        <w:tabs>
          <w:tab w:val="left" w:pos="567"/>
        </w:tabs>
        <w:spacing w:after="0" w:line="240" w:lineRule="auto"/>
        <w:jc w:val="both"/>
        <w:rPr>
          <w:rFonts w:ascii="Times New Roman" w:hAnsi="Times New Roman" w:cs="Times New Roman"/>
          <w:color w:val="000000" w:themeColor="text1"/>
          <w:sz w:val="28"/>
          <w:szCs w:val="28"/>
          <w:lang w:val="uk-UA" w:eastAsia="uk-UA"/>
        </w:rPr>
      </w:pPr>
    </w:p>
    <w:p w:rsidR="00A25646" w:rsidRDefault="00A25646" w:rsidP="00A25646">
      <w:pPr>
        <w:spacing w:after="0" w:line="240" w:lineRule="auto"/>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ab/>
        <w:t>Ліфтове господарство міста налічує 1004 ліфти.</w:t>
      </w:r>
    </w:p>
    <w:p w:rsidR="00A25646" w:rsidRDefault="00A25646" w:rsidP="00A25646">
      <w:pPr>
        <w:spacing w:after="0" w:line="240" w:lineRule="auto"/>
        <w:jc w:val="center"/>
        <w:rPr>
          <w:rFonts w:ascii="Times New Roman" w:hAnsi="Times New Roman" w:cs="Times New Roman"/>
          <w:color w:val="000000" w:themeColor="text1"/>
          <w:sz w:val="28"/>
          <w:szCs w:val="28"/>
          <w:lang w:val="uk-UA" w:eastAsia="uk-UA"/>
        </w:rPr>
      </w:pPr>
      <w:r>
        <w:rPr>
          <w:noProof/>
          <w:lang w:eastAsia="ru-RU"/>
        </w:rPr>
        <w:drawing>
          <wp:inline distT="0" distB="0" distL="0" distR="0">
            <wp:extent cx="5302250" cy="2895601"/>
            <wp:effectExtent l="0" t="0" r="0" b="0"/>
            <wp:docPr id="69"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600EA6" w:rsidRDefault="00600EA6" w:rsidP="00A25646">
      <w:pPr>
        <w:spacing w:after="0" w:line="240" w:lineRule="auto"/>
        <w:jc w:val="center"/>
        <w:rPr>
          <w:rFonts w:ascii="Times New Roman" w:hAnsi="Times New Roman" w:cs="Times New Roman"/>
          <w:color w:val="000000" w:themeColor="text1"/>
          <w:sz w:val="28"/>
          <w:szCs w:val="28"/>
          <w:lang w:val="uk-UA" w:eastAsia="uk-UA"/>
        </w:rPr>
      </w:pPr>
    </w:p>
    <w:p w:rsidR="00600EA6" w:rsidRDefault="00600EA6" w:rsidP="00A25646">
      <w:pPr>
        <w:spacing w:after="0" w:line="240" w:lineRule="auto"/>
        <w:jc w:val="center"/>
        <w:rPr>
          <w:rFonts w:ascii="Times New Roman" w:hAnsi="Times New Roman" w:cs="Times New Roman"/>
          <w:color w:val="000000" w:themeColor="text1"/>
          <w:sz w:val="28"/>
          <w:szCs w:val="28"/>
          <w:lang w:val="uk-UA" w:eastAsia="uk-UA"/>
        </w:rPr>
      </w:pPr>
    </w:p>
    <w:p w:rsidR="00A25646" w:rsidRDefault="00A25646" w:rsidP="005241A8">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Невирішеними залишаються наступні проблеми:</w:t>
      </w:r>
    </w:p>
    <w:p w:rsidR="00A25646" w:rsidRDefault="00A25646" w:rsidP="005241A8">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старіння, зношеність житлового фонду;</w:t>
      </w:r>
    </w:p>
    <w:p w:rsidR="00A25646" w:rsidRDefault="00A25646" w:rsidP="005241A8">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житловий фонд будинків перших масових серій (60-70-х років забудови) має незадовільний технічний стан, низькі експлуатаційні якості та вичерпав свій експлуатаційний ресурс;</w:t>
      </w:r>
    </w:p>
    <w:p w:rsidR="00A25646" w:rsidRDefault="00A25646" w:rsidP="005241A8">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низька енергоефективність житлових будинків;</w:t>
      </w:r>
    </w:p>
    <w:p w:rsidR="00A25646" w:rsidRDefault="00A25646" w:rsidP="005241A8">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незадовільний технічний стан ліфтів, інженерних мереж та покрівель житлових будинків;</w:t>
      </w:r>
    </w:p>
    <w:p w:rsidR="00A25646" w:rsidRDefault="00A25646" w:rsidP="005241A8">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незадовільний стан систем пожежогасіння та димовидалення у житлових будинках підвищеної поверховості;</w:t>
      </w:r>
    </w:p>
    <w:p w:rsidR="00A25646" w:rsidRDefault="00A25646" w:rsidP="005241A8">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незадовільний стан асфальтобетонного по</w:t>
      </w:r>
      <w:r w:rsidR="00123CC8">
        <w:rPr>
          <w:rFonts w:ascii="Times New Roman" w:hAnsi="Times New Roman" w:cs="Times New Roman"/>
          <w:color w:val="000000" w:themeColor="text1"/>
          <w:sz w:val="28"/>
          <w:szCs w:val="28"/>
          <w:lang w:val="uk-UA" w:eastAsia="uk-UA"/>
        </w:rPr>
        <w:t>криття дворів житлових будинків.</w:t>
      </w:r>
    </w:p>
    <w:p w:rsidR="00A25646" w:rsidRPr="00F340D2" w:rsidRDefault="00A25646" w:rsidP="00A25646">
      <w:pPr>
        <w:spacing w:after="0" w:line="240" w:lineRule="auto"/>
        <w:jc w:val="both"/>
        <w:rPr>
          <w:rFonts w:ascii="Times New Roman" w:hAnsi="Times New Roman" w:cs="Times New Roman"/>
          <w:b/>
          <w:color w:val="000000" w:themeColor="text1"/>
          <w:sz w:val="28"/>
          <w:szCs w:val="28"/>
          <w:lang w:val="uk-UA" w:eastAsia="uk-UA"/>
        </w:rPr>
      </w:pPr>
      <w:r w:rsidRPr="00F340D2">
        <w:rPr>
          <w:rFonts w:ascii="Times New Roman" w:hAnsi="Times New Roman" w:cs="Times New Roman"/>
          <w:b/>
          <w:color w:val="000000" w:themeColor="text1"/>
          <w:sz w:val="28"/>
          <w:szCs w:val="28"/>
          <w:lang w:val="uk-UA" w:eastAsia="uk-UA"/>
        </w:rPr>
        <w:lastRenderedPageBreak/>
        <w:t>Комунальне господарство</w:t>
      </w:r>
    </w:p>
    <w:p w:rsidR="00A25646" w:rsidRPr="00F340D2" w:rsidRDefault="00A25646" w:rsidP="00A25646">
      <w:pPr>
        <w:spacing w:after="0" w:line="240" w:lineRule="auto"/>
        <w:jc w:val="both"/>
        <w:rPr>
          <w:rFonts w:ascii="Times New Roman" w:hAnsi="Times New Roman" w:cs="Times New Roman"/>
          <w:b/>
          <w:color w:val="000000" w:themeColor="text1"/>
          <w:sz w:val="28"/>
          <w:szCs w:val="28"/>
          <w:lang w:val="uk-UA" w:eastAsia="uk-UA"/>
        </w:rPr>
      </w:pPr>
      <w:r w:rsidRPr="00F340D2">
        <w:rPr>
          <w:rFonts w:ascii="Times New Roman" w:hAnsi="Times New Roman" w:cs="Times New Roman"/>
          <w:b/>
          <w:color w:val="000000" w:themeColor="text1"/>
          <w:sz w:val="28"/>
          <w:szCs w:val="28"/>
          <w:lang w:val="uk-UA" w:eastAsia="uk-UA"/>
        </w:rPr>
        <w:t>Водопостачання та водовідведення</w:t>
      </w:r>
    </w:p>
    <w:p w:rsidR="00A25646" w:rsidRDefault="00A25646" w:rsidP="005241A8">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Централізована система водопостачання міста включає 6 водо</w:t>
      </w:r>
      <w:r w:rsidR="001B1196">
        <w:rPr>
          <w:rFonts w:ascii="Times New Roman" w:hAnsi="Times New Roman" w:cs="Times New Roman"/>
          <w:color w:val="000000" w:themeColor="text1"/>
          <w:sz w:val="28"/>
          <w:szCs w:val="28"/>
          <w:lang w:val="uk-UA" w:eastAsia="uk-UA"/>
        </w:rPr>
        <w:t>напірних насосних станцій та 526,1</w:t>
      </w:r>
      <w:r>
        <w:rPr>
          <w:rFonts w:ascii="Times New Roman" w:hAnsi="Times New Roman" w:cs="Times New Roman"/>
          <w:color w:val="000000" w:themeColor="text1"/>
          <w:sz w:val="28"/>
          <w:szCs w:val="28"/>
          <w:lang w:val="uk-UA" w:eastAsia="uk-UA"/>
        </w:rPr>
        <w:t xml:space="preserve"> км</w:t>
      </w:r>
      <w:r w:rsidR="001B1196">
        <w:rPr>
          <w:rFonts w:ascii="Times New Roman" w:hAnsi="Times New Roman" w:cs="Times New Roman"/>
          <w:color w:val="000000" w:themeColor="text1"/>
          <w:sz w:val="28"/>
          <w:szCs w:val="28"/>
          <w:lang w:val="uk-UA" w:eastAsia="uk-UA"/>
        </w:rPr>
        <w:t xml:space="preserve"> водопровідних мереж, з яких 409,8</w:t>
      </w:r>
      <w:r>
        <w:rPr>
          <w:rFonts w:ascii="Times New Roman" w:hAnsi="Times New Roman" w:cs="Times New Roman"/>
          <w:color w:val="000000" w:themeColor="text1"/>
          <w:sz w:val="28"/>
          <w:szCs w:val="28"/>
          <w:lang w:val="uk-UA" w:eastAsia="uk-UA"/>
        </w:rPr>
        <w:t xml:space="preserve"> км (77,9%) перебувають у аварійному стані.</w:t>
      </w:r>
    </w:p>
    <w:p w:rsidR="00A25646" w:rsidRDefault="00A25646" w:rsidP="00A25646">
      <w:pPr>
        <w:spacing w:after="0" w:line="240" w:lineRule="auto"/>
        <w:ind w:firstLine="708"/>
        <w:jc w:val="both"/>
        <w:rPr>
          <w:rFonts w:ascii="Times New Roman" w:hAnsi="Times New Roman" w:cs="Times New Roman"/>
          <w:color w:val="000000" w:themeColor="text1"/>
          <w:sz w:val="28"/>
          <w:szCs w:val="28"/>
          <w:lang w:val="uk-UA" w:eastAsia="uk-UA"/>
        </w:rPr>
      </w:pPr>
    </w:p>
    <w:p w:rsidR="00A25646" w:rsidRDefault="00A25646" w:rsidP="00A25646">
      <w:pPr>
        <w:spacing w:after="0" w:line="240" w:lineRule="auto"/>
        <w:jc w:val="both"/>
        <w:rPr>
          <w:rFonts w:ascii="Times New Roman" w:hAnsi="Times New Roman" w:cs="Times New Roman"/>
          <w:color w:val="000000" w:themeColor="text1"/>
          <w:sz w:val="28"/>
          <w:szCs w:val="28"/>
          <w:lang w:val="uk-UA" w:eastAsia="uk-UA"/>
        </w:rPr>
      </w:pPr>
      <w:r>
        <w:rPr>
          <w:noProof/>
          <w:lang w:eastAsia="ru-RU"/>
        </w:rPr>
        <w:drawing>
          <wp:inline distT="0" distB="0" distL="0" distR="0">
            <wp:extent cx="3022600" cy="2044700"/>
            <wp:effectExtent l="19050" t="0" r="6350" b="0"/>
            <wp:docPr id="70"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Pr>
          <w:noProof/>
          <w:lang w:eastAsia="ru-RU"/>
        </w:rPr>
        <w:drawing>
          <wp:inline distT="0" distB="0" distL="0" distR="0">
            <wp:extent cx="2762250" cy="2012950"/>
            <wp:effectExtent l="19050" t="0" r="0" b="0"/>
            <wp:docPr id="71"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A25646" w:rsidRDefault="00A25646" w:rsidP="00A25646">
      <w:pPr>
        <w:spacing w:after="0" w:line="240" w:lineRule="auto"/>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ab/>
        <w:t xml:space="preserve">Система водовідведення включає 24 каналізаційних насосних станцій та 246 км </w:t>
      </w:r>
      <w:r w:rsidR="00AB66D7">
        <w:rPr>
          <w:rFonts w:ascii="Times New Roman" w:hAnsi="Times New Roman" w:cs="Times New Roman"/>
          <w:color w:val="000000" w:themeColor="text1"/>
          <w:sz w:val="28"/>
          <w:szCs w:val="28"/>
          <w:lang w:val="uk-UA" w:eastAsia="uk-UA"/>
        </w:rPr>
        <w:t>каналізаційних мереж, з яких 176,6 км (71,8</w:t>
      </w:r>
      <w:r>
        <w:rPr>
          <w:rFonts w:ascii="Times New Roman" w:hAnsi="Times New Roman" w:cs="Times New Roman"/>
          <w:color w:val="000000" w:themeColor="text1"/>
          <w:sz w:val="28"/>
          <w:szCs w:val="28"/>
          <w:lang w:val="uk-UA" w:eastAsia="uk-UA"/>
        </w:rPr>
        <w:t>%) перебувають в аварійному стані.</w:t>
      </w:r>
    </w:p>
    <w:p w:rsidR="00A25646" w:rsidRDefault="00A25646" w:rsidP="00A25646">
      <w:pPr>
        <w:spacing w:after="0" w:line="240" w:lineRule="auto"/>
        <w:jc w:val="both"/>
        <w:rPr>
          <w:rFonts w:ascii="Times New Roman" w:hAnsi="Times New Roman" w:cs="Times New Roman"/>
          <w:color w:val="000000" w:themeColor="text1"/>
          <w:sz w:val="28"/>
          <w:szCs w:val="28"/>
          <w:lang w:val="uk-UA" w:eastAsia="uk-UA"/>
        </w:rPr>
      </w:pPr>
    </w:p>
    <w:p w:rsidR="00A25646" w:rsidRDefault="00A25646" w:rsidP="00540087">
      <w:pPr>
        <w:spacing w:after="0" w:line="240" w:lineRule="auto"/>
        <w:ind w:hanging="567"/>
        <w:jc w:val="both"/>
        <w:rPr>
          <w:rFonts w:ascii="Times New Roman" w:hAnsi="Times New Roman" w:cs="Times New Roman"/>
          <w:color w:val="000000" w:themeColor="text1"/>
          <w:sz w:val="28"/>
          <w:szCs w:val="28"/>
          <w:lang w:val="uk-UA" w:eastAsia="uk-UA"/>
        </w:rPr>
      </w:pPr>
      <w:r>
        <w:rPr>
          <w:noProof/>
          <w:lang w:eastAsia="ru-RU"/>
        </w:rPr>
        <w:drawing>
          <wp:inline distT="0" distB="0" distL="0" distR="0">
            <wp:extent cx="2844800" cy="1746250"/>
            <wp:effectExtent l="0" t="0" r="0" b="6350"/>
            <wp:docPr id="72"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Pr>
          <w:noProof/>
          <w:lang w:eastAsia="ru-RU"/>
        </w:rPr>
        <w:drawing>
          <wp:inline distT="0" distB="0" distL="0" distR="0">
            <wp:extent cx="3048000" cy="1752600"/>
            <wp:effectExtent l="19050" t="0" r="0" b="0"/>
            <wp:docPr id="73"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A25646" w:rsidRDefault="00A25646" w:rsidP="00A25646">
      <w:pPr>
        <w:spacing w:after="0" w:line="240" w:lineRule="auto"/>
        <w:jc w:val="both"/>
        <w:rPr>
          <w:rFonts w:ascii="Times New Roman" w:hAnsi="Times New Roman" w:cs="Times New Roman"/>
          <w:color w:val="000000" w:themeColor="text1"/>
          <w:sz w:val="28"/>
          <w:szCs w:val="28"/>
          <w:lang w:val="en-US" w:eastAsia="uk-UA"/>
        </w:rPr>
      </w:pPr>
      <w:r>
        <w:rPr>
          <w:rFonts w:ascii="Times New Roman" w:hAnsi="Times New Roman" w:cs="Times New Roman"/>
          <w:color w:val="000000" w:themeColor="text1"/>
          <w:sz w:val="28"/>
          <w:szCs w:val="28"/>
          <w:lang w:val="uk-UA" w:eastAsia="uk-UA"/>
        </w:rPr>
        <w:tab/>
      </w:r>
    </w:p>
    <w:p w:rsidR="007607F8" w:rsidRDefault="007607F8" w:rsidP="009049E3">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В багатоквартирних житлових будинках встановлено 198 засобів обліку холодної води, що складає 24,1% від загальної кількості багатоповерхових будинків, що оснащені централізованим водопостачанням та водовідведенням.</w:t>
      </w:r>
    </w:p>
    <w:p w:rsidR="007607F8" w:rsidRPr="007607F8" w:rsidRDefault="007607F8" w:rsidP="00A25646">
      <w:pPr>
        <w:spacing w:after="0" w:line="240" w:lineRule="auto"/>
        <w:jc w:val="both"/>
        <w:rPr>
          <w:rFonts w:ascii="Times New Roman" w:hAnsi="Times New Roman" w:cs="Times New Roman"/>
          <w:color w:val="000000" w:themeColor="text1"/>
          <w:sz w:val="28"/>
          <w:szCs w:val="28"/>
          <w:lang w:val="uk-UA" w:eastAsia="uk-UA"/>
        </w:rPr>
      </w:pPr>
    </w:p>
    <w:p w:rsidR="00A25646" w:rsidRDefault="00A25646" w:rsidP="00600EA6">
      <w:pPr>
        <w:spacing w:after="0" w:line="240" w:lineRule="auto"/>
        <w:ind w:right="-285" w:hanging="426"/>
        <w:rPr>
          <w:rFonts w:ascii="Times New Roman" w:hAnsi="Times New Roman" w:cs="Times New Roman"/>
          <w:color w:val="000000" w:themeColor="text1"/>
          <w:sz w:val="28"/>
          <w:szCs w:val="28"/>
          <w:lang w:val="uk-UA" w:eastAsia="uk-UA"/>
        </w:rPr>
      </w:pPr>
      <w:r>
        <w:rPr>
          <w:noProof/>
          <w:lang w:eastAsia="ru-RU"/>
        </w:rPr>
        <w:drawing>
          <wp:inline distT="0" distB="0" distL="0" distR="0">
            <wp:extent cx="2955798" cy="1926336"/>
            <wp:effectExtent l="19050" t="0" r="0" b="0"/>
            <wp:docPr id="74"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00600EA6" w:rsidRPr="00600EA6">
        <w:rPr>
          <w:rFonts w:ascii="Times New Roman" w:hAnsi="Times New Roman" w:cs="Times New Roman"/>
          <w:noProof/>
          <w:color w:val="000000" w:themeColor="text1"/>
          <w:sz w:val="28"/>
          <w:szCs w:val="28"/>
          <w:lang w:eastAsia="ru-RU"/>
        </w:rPr>
        <w:drawing>
          <wp:inline distT="0" distB="0" distL="0" distR="0">
            <wp:extent cx="3254883" cy="1926336"/>
            <wp:effectExtent l="19050" t="0" r="2667" b="0"/>
            <wp:docPr id="2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9C0AD7" w:rsidRDefault="009C0AD7" w:rsidP="009049E3">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lastRenderedPageBreak/>
        <w:t xml:space="preserve">У квартирах багатоповерхових будинків встановлено 57890 засобів обліку холодної води, що складає 72% від загальної кількості квартир, оснащених централізованим водопостачанням та водовідведенням. </w:t>
      </w:r>
    </w:p>
    <w:p w:rsidR="00D16AFA" w:rsidRPr="009C0AD7" w:rsidRDefault="00D16AFA" w:rsidP="00A25646">
      <w:pPr>
        <w:spacing w:after="0" w:line="240" w:lineRule="auto"/>
        <w:ind w:left="426" w:firstLine="282"/>
        <w:jc w:val="both"/>
        <w:rPr>
          <w:rFonts w:ascii="Times New Roman" w:hAnsi="Times New Roman" w:cs="Times New Roman"/>
          <w:color w:val="000000" w:themeColor="text1"/>
          <w:sz w:val="28"/>
          <w:szCs w:val="28"/>
          <w:lang w:val="uk-UA" w:eastAsia="uk-UA"/>
        </w:rPr>
      </w:pPr>
    </w:p>
    <w:p w:rsidR="007607F8" w:rsidRDefault="009F1C2B" w:rsidP="00D16AFA">
      <w:pPr>
        <w:spacing w:after="0" w:line="240" w:lineRule="auto"/>
        <w:ind w:hanging="284"/>
        <w:jc w:val="both"/>
        <w:rPr>
          <w:rFonts w:ascii="Times New Roman" w:hAnsi="Times New Roman" w:cs="Times New Roman"/>
          <w:color w:val="000000" w:themeColor="text1"/>
          <w:sz w:val="28"/>
          <w:szCs w:val="28"/>
          <w:lang w:val="uk-UA" w:eastAsia="uk-UA"/>
        </w:rPr>
      </w:pPr>
      <w:r w:rsidRPr="009F1C2B">
        <w:rPr>
          <w:rFonts w:ascii="Times New Roman" w:hAnsi="Times New Roman" w:cs="Times New Roman"/>
          <w:noProof/>
          <w:color w:val="000000" w:themeColor="text1"/>
          <w:sz w:val="28"/>
          <w:szCs w:val="28"/>
          <w:lang w:eastAsia="ru-RU"/>
        </w:rPr>
        <w:drawing>
          <wp:inline distT="0" distB="0" distL="0" distR="0">
            <wp:extent cx="2802527" cy="2468880"/>
            <wp:effectExtent l="19050" t="0" r="0" b="0"/>
            <wp:docPr id="11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r w:rsidR="00D16AFA" w:rsidRPr="00D16AFA">
        <w:rPr>
          <w:rFonts w:ascii="Times New Roman" w:hAnsi="Times New Roman" w:cs="Times New Roman"/>
          <w:noProof/>
          <w:color w:val="000000" w:themeColor="text1"/>
          <w:sz w:val="28"/>
          <w:szCs w:val="28"/>
          <w:lang w:eastAsia="ru-RU"/>
        </w:rPr>
        <w:drawing>
          <wp:inline distT="0" distB="0" distL="0" distR="0">
            <wp:extent cx="2972345" cy="2468880"/>
            <wp:effectExtent l="19050" t="0" r="0" b="0"/>
            <wp:docPr id="11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3F4784" w:rsidRDefault="003F4784" w:rsidP="00FE05F0">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У приватних будинках встановлено 11410 засобів обліку холодної води, що становить 58,6% від загальної кількості приватних будинків.</w:t>
      </w:r>
    </w:p>
    <w:p w:rsidR="003F4784" w:rsidRDefault="003F4784" w:rsidP="00A25646">
      <w:pPr>
        <w:spacing w:after="0" w:line="240" w:lineRule="auto"/>
        <w:ind w:left="426" w:firstLine="282"/>
        <w:jc w:val="both"/>
        <w:rPr>
          <w:rFonts w:ascii="Times New Roman" w:hAnsi="Times New Roman" w:cs="Times New Roman"/>
          <w:color w:val="000000" w:themeColor="text1"/>
          <w:sz w:val="28"/>
          <w:szCs w:val="28"/>
          <w:lang w:val="uk-UA" w:eastAsia="uk-UA"/>
        </w:rPr>
      </w:pPr>
    </w:p>
    <w:p w:rsidR="003F4784" w:rsidRDefault="00FE05F0" w:rsidP="00FE05F0">
      <w:pPr>
        <w:spacing w:after="0" w:line="240" w:lineRule="auto"/>
        <w:ind w:hanging="284"/>
        <w:jc w:val="both"/>
        <w:rPr>
          <w:rFonts w:ascii="Times New Roman" w:hAnsi="Times New Roman" w:cs="Times New Roman"/>
          <w:color w:val="000000" w:themeColor="text1"/>
          <w:sz w:val="28"/>
          <w:szCs w:val="28"/>
          <w:lang w:val="uk-UA" w:eastAsia="uk-UA"/>
        </w:rPr>
      </w:pPr>
      <w:r w:rsidRPr="00FE05F0">
        <w:rPr>
          <w:rFonts w:ascii="Times New Roman" w:hAnsi="Times New Roman" w:cs="Times New Roman"/>
          <w:noProof/>
          <w:color w:val="000000" w:themeColor="text1"/>
          <w:sz w:val="28"/>
          <w:szCs w:val="28"/>
          <w:lang w:eastAsia="ru-RU"/>
        </w:rPr>
        <w:drawing>
          <wp:inline distT="0" distB="0" distL="0" distR="0">
            <wp:extent cx="2821577" cy="2495005"/>
            <wp:effectExtent l="19050" t="0" r="0" b="0"/>
            <wp:docPr id="11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00C03F14" w:rsidRPr="00C03F14">
        <w:rPr>
          <w:noProof/>
          <w:lang w:eastAsia="ru-RU"/>
        </w:rPr>
        <w:t xml:space="preserve"> </w:t>
      </w:r>
      <w:r w:rsidR="00C03F14" w:rsidRPr="00C03F14">
        <w:rPr>
          <w:rFonts w:ascii="Times New Roman" w:hAnsi="Times New Roman" w:cs="Times New Roman"/>
          <w:noProof/>
          <w:color w:val="000000" w:themeColor="text1"/>
          <w:sz w:val="28"/>
          <w:szCs w:val="28"/>
          <w:lang w:eastAsia="ru-RU"/>
        </w:rPr>
        <w:drawing>
          <wp:inline distT="0" distB="0" distL="0" distR="0">
            <wp:extent cx="3063784" cy="2495005"/>
            <wp:effectExtent l="19050" t="0" r="3266" b="0"/>
            <wp:docPr id="115"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A25646" w:rsidRDefault="00A25646" w:rsidP="009049E3">
      <w:pPr>
        <w:spacing w:after="0" w:line="240" w:lineRule="auto"/>
        <w:ind w:left="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Невирішеними залишаються наступні проблеми:</w:t>
      </w:r>
    </w:p>
    <w:p w:rsidR="00A25646" w:rsidRPr="009A56BC" w:rsidRDefault="00A25646" w:rsidP="009049E3">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незадовільний технічний стан інфраструктури в</w:t>
      </w:r>
      <w:r w:rsidR="00BF3792">
        <w:rPr>
          <w:rFonts w:ascii="Times New Roman" w:hAnsi="Times New Roman" w:cs="Times New Roman"/>
          <w:color w:val="000000" w:themeColor="text1"/>
          <w:sz w:val="28"/>
          <w:szCs w:val="28"/>
          <w:lang w:val="uk-UA" w:eastAsia="uk-UA"/>
        </w:rPr>
        <w:t>одопостачання та водовідведення</w:t>
      </w:r>
      <w:r w:rsidR="00BF3792" w:rsidRPr="00BF3792">
        <w:rPr>
          <w:rFonts w:ascii="Times New Roman" w:hAnsi="Times New Roman" w:cs="Times New Roman"/>
          <w:color w:val="000000" w:themeColor="text1"/>
          <w:sz w:val="28"/>
          <w:szCs w:val="28"/>
          <w:lang w:eastAsia="uk-UA"/>
        </w:rPr>
        <w:t>;</w:t>
      </w:r>
    </w:p>
    <w:p w:rsidR="009A56BC" w:rsidRDefault="009A56BC" w:rsidP="009049E3">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втрати питної води під час її транспортування та розподілу</w:t>
      </w:r>
      <w:r w:rsidRPr="00BF3792">
        <w:rPr>
          <w:rFonts w:ascii="Times New Roman" w:hAnsi="Times New Roman" w:cs="Times New Roman"/>
          <w:color w:val="000000" w:themeColor="text1"/>
          <w:sz w:val="28"/>
          <w:szCs w:val="28"/>
          <w:lang w:eastAsia="uk-UA"/>
        </w:rPr>
        <w:t xml:space="preserve"> </w:t>
      </w:r>
      <w:r>
        <w:rPr>
          <w:rFonts w:ascii="Times New Roman" w:hAnsi="Times New Roman" w:cs="Times New Roman"/>
          <w:color w:val="000000" w:themeColor="text1"/>
          <w:sz w:val="28"/>
          <w:szCs w:val="28"/>
          <w:lang w:val="uk-UA" w:eastAsia="uk-UA"/>
        </w:rPr>
        <w:t>(втрати води в мережі складають 58,0%);</w:t>
      </w:r>
    </w:p>
    <w:p w:rsidR="00A25646" w:rsidRDefault="00A25646" w:rsidP="009049E3">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використання застарілого енергозатратного обладнання на комунальному підприємстві «Житомирводоканал» міської ради;</w:t>
      </w:r>
    </w:p>
    <w:p w:rsidR="00A25646" w:rsidRDefault="00A25646" w:rsidP="009049E3">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невідповідна якість води у джерелі водопостачання (водосх</w:t>
      </w:r>
      <w:r w:rsidR="00791FEE">
        <w:rPr>
          <w:rFonts w:ascii="Times New Roman" w:hAnsi="Times New Roman" w:cs="Times New Roman"/>
          <w:color w:val="000000" w:themeColor="text1"/>
          <w:sz w:val="28"/>
          <w:szCs w:val="28"/>
          <w:lang w:val="uk-UA" w:eastAsia="uk-UA"/>
        </w:rPr>
        <w:t>овище «Відсічне» на р. Тетерів) та питної води у кінцевого споживача;</w:t>
      </w:r>
    </w:p>
    <w:p w:rsidR="00A25646" w:rsidRDefault="00A25646" w:rsidP="009049E3">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розкрадання чавунних люків і решіток оглядових колодязів підземних інженерних мереж;</w:t>
      </w:r>
    </w:p>
    <w:p w:rsidR="00870389" w:rsidRPr="00870389" w:rsidRDefault="00870389" w:rsidP="009049E3">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sidRPr="00870389">
        <w:rPr>
          <w:rFonts w:ascii="Times New Roman" w:hAnsi="Times New Roman" w:cs="Times New Roman"/>
          <w:color w:val="000000" w:themeColor="text1"/>
          <w:sz w:val="28"/>
          <w:szCs w:val="28"/>
          <w:lang w:val="uk-UA" w:eastAsia="uk-UA"/>
        </w:rPr>
        <w:lastRenderedPageBreak/>
        <w:t>низький рівень забезпечення централізованим водовідведенням приватного сектору міста (68,1% приватного сектору оснащено централізованим водопостачанням</w:t>
      </w:r>
      <w:r>
        <w:rPr>
          <w:rFonts w:ascii="Times New Roman" w:hAnsi="Times New Roman" w:cs="Times New Roman"/>
          <w:color w:val="000000" w:themeColor="text1"/>
          <w:sz w:val="28"/>
          <w:szCs w:val="28"/>
          <w:lang w:val="uk-UA" w:eastAsia="uk-UA"/>
        </w:rPr>
        <w:t xml:space="preserve">, а водовідведенням лише </w:t>
      </w:r>
      <w:r w:rsidR="001B7A39">
        <w:rPr>
          <w:rFonts w:ascii="Times New Roman" w:hAnsi="Times New Roman" w:cs="Times New Roman"/>
          <w:color w:val="000000" w:themeColor="text1"/>
          <w:sz w:val="28"/>
          <w:szCs w:val="28"/>
          <w:lang w:val="uk-UA" w:eastAsia="uk-UA"/>
        </w:rPr>
        <w:t xml:space="preserve">           31,9 </w:t>
      </w:r>
      <w:r w:rsidR="00FE4021">
        <w:rPr>
          <w:rFonts w:ascii="Times New Roman" w:hAnsi="Times New Roman" w:cs="Times New Roman"/>
          <w:color w:val="000000" w:themeColor="text1"/>
          <w:sz w:val="28"/>
          <w:szCs w:val="28"/>
          <w:lang w:val="uk-UA" w:eastAsia="uk-UA"/>
        </w:rPr>
        <w:t>%)</w:t>
      </w:r>
      <w:r w:rsidRPr="00870389">
        <w:rPr>
          <w:rFonts w:ascii="Times New Roman" w:hAnsi="Times New Roman" w:cs="Times New Roman"/>
          <w:color w:val="000000" w:themeColor="text1"/>
          <w:sz w:val="28"/>
          <w:szCs w:val="28"/>
          <w:lang w:val="uk-UA" w:eastAsia="uk-UA"/>
        </w:rPr>
        <w:t>;</w:t>
      </w:r>
    </w:p>
    <w:p w:rsidR="00A25646" w:rsidRPr="00E365B5" w:rsidRDefault="000F0686" w:rsidP="009049E3">
      <w:pPr>
        <w:pStyle w:val="a3"/>
        <w:numPr>
          <w:ilvl w:val="0"/>
          <w:numId w:val="11"/>
        </w:numPr>
        <w:spacing w:after="0" w:line="240" w:lineRule="auto"/>
        <w:ind w:left="1134" w:hanging="425"/>
        <w:jc w:val="both"/>
        <w:rPr>
          <w:rFonts w:ascii="Times New Roman" w:hAnsi="Times New Roman" w:cs="Times New Roman"/>
          <w:color w:val="FF0000"/>
          <w:sz w:val="28"/>
          <w:szCs w:val="28"/>
          <w:lang w:val="uk-UA" w:eastAsia="uk-UA"/>
        </w:rPr>
      </w:pPr>
      <w:r w:rsidRPr="00EF5221">
        <w:rPr>
          <w:rFonts w:ascii="Times New Roman" w:hAnsi="Times New Roman" w:cs="Times New Roman"/>
          <w:color w:val="000000" w:themeColor="text1"/>
          <w:sz w:val="28"/>
          <w:szCs w:val="28"/>
          <w:lang w:val="uk-UA" w:eastAsia="uk-UA"/>
        </w:rPr>
        <w:t xml:space="preserve">не </w:t>
      </w:r>
      <w:r w:rsidRPr="000F0686">
        <w:rPr>
          <w:rFonts w:ascii="Times New Roman" w:hAnsi="Times New Roman" w:cs="Times New Roman"/>
          <w:color w:val="000000" w:themeColor="text1"/>
          <w:sz w:val="28"/>
          <w:szCs w:val="28"/>
          <w:lang w:val="uk-UA" w:eastAsia="uk-UA"/>
        </w:rPr>
        <w:t>повне забезпечення побудинкового</w:t>
      </w:r>
      <w:r w:rsidR="00A25646" w:rsidRPr="000F0686">
        <w:rPr>
          <w:rFonts w:ascii="Times New Roman" w:hAnsi="Times New Roman" w:cs="Times New Roman"/>
          <w:color w:val="000000" w:themeColor="text1"/>
          <w:sz w:val="28"/>
          <w:szCs w:val="28"/>
          <w:lang w:val="uk-UA" w:eastAsia="uk-UA"/>
        </w:rPr>
        <w:t xml:space="preserve"> </w:t>
      </w:r>
      <w:r w:rsidR="00791FEE">
        <w:rPr>
          <w:rFonts w:ascii="Times New Roman" w:hAnsi="Times New Roman" w:cs="Times New Roman"/>
          <w:color w:val="000000" w:themeColor="text1"/>
          <w:sz w:val="28"/>
          <w:szCs w:val="28"/>
          <w:lang w:val="uk-UA" w:eastAsia="uk-UA"/>
        </w:rPr>
        <w:t>(</w:t>
      </w:r>
      <w:r w:rsidR="00CB3C72" w:rsidRPr="00CB3C72">
        <w:rPr>
          <w:rFonts w:ascii="Times New Roman" w:hAnsi="Times New Roman" w:cs="Times New Roman"/>
          <w:color w:val="000000" w:themeColor="text1"/>
          <w:sz w:val="28"/>
          <w:szCs w:val="28"/>
          <w:lang w:val="uk-UA" w:eastAsia="uk-UA"/>
        </w:rPr>
        <w:t>7</w:t>
      </w:r>
      <w:r w:rsidR="00460EB4">
        <w:rPr>
          <w:rFonts w:ascii="Times New Roman" w:hAnsi="Times New Roman" w:cs="Times New Roman"/>
          <w:color w:val="000000" w:themeColor="text1"/>
          <w:sz w:val="28"/>
          <w:szCs w:val="28"/>
          <w:lang w:val="uk-UA" w:eastAsia="uk-UA"/>
        </w:rPr>
        <w:t>5,9</w:t>
      </w:r>
      <w:r w:rsidR="00791FEE" w:rsidRPr="00CB3C72">
        <w:rPr>
          <w:rFonts w:ascii="Times New Roman" w:hAnsi="Times New Roman" w:cs="Times New Roman"/>
          <w:color w:val="000000" w:themeColor="text1"/>
          <w:sz w:val="28"/>
          <w:szCs w:val="28"/>
          <w:lang w:val="uk-UA" w:eastAsia="uk-UA"/>
        </w:rPr>
        <w:t>%</w:t>
      </w:r>
      <w:r w:rsidR="00791FEE" w:rsidRPr="000F0686">
        <w:rPr>
          <w:rFonts w:ascii="Times New Roman" w:hAnsi="Times New Roman" w:cs="Times New Roman"/>
          <w:color w:val="000000" w:themeColor="text1"/>
          <w:sz w:val="28"/>
          <w:szCs w:val="28"/>
          <w:lang w:val="uk-UA" w:eastAsia="uk-UA"/>
        </w:rPr>
        <w:t xml:space="preserve"> багатоповерхових будинків не оснащені засобами обліку води)</w:t>
      </w:r>
      <w:r w:rsidR="005F1CD3">
        <w:rPr>
          <w:rFonts w:ascii="Times New Roman" w:hAnsi="Times New Roman" w:cs="Times New Roman"/>
          <w:color w:val="000000" w:themeColor="text1"/>
          <w:sz w:val="28"/>
          <w:szCs w:val="28"/>
          <w:lang w:val="uk-UA" w:eastAsia="uk-UA"/>
        </w:rPr>
        <w:t xml:space="preserve"> та по</w:t>
      </w:r>
      <w:r w:rsidR="00791FEE">
        <w:rPr>
          <w:rFonts w:ascii="Times New Roman" w:hAnsi="Times New Roman" w:cs="Times New Roman"/>
          <w:color w:val="000000" w:themeColor="text1"/>
          <w:sz w:val="28"/>
          <w:szCs w:val="28"/>
          <w:lang w:val="uk-UA" w:eastAsia="uk-UA"/>
        </w:rPr>
        <w:t xml:space="preserve">квартирного </w:t>
      </w:r>
      <w:r w:rsidR="00A25646" w:rsidRPr="000F0686">
        <w:rPr>
          <w:rFonts w:ascii="Times New Roman" w:hAnsi="Times New Roman" w:cs="Times New Roman"/>
          <w:color w:val="000000" w:themeColor="text1"/>
          <w:sz w:val="28"/>
          <w:szCs w:val="28"/>
          <w:lang w:val="uk-UA" w:eastAsia="uk-UA"/>
        </w:rPr>
        <w:t>облік</w:t>
      </w:r>
      <w:r w:rsidRPr="000F0686">
        <w:rPr>
          <w:rFonts w:ascii="Times New Roman" w:hAnsi="Times New Roman" w:cs="Times New Roman"/>
          <w:color w:val="000000" w:themeColor="text1"/>
          <w:sz w:val="28"/>
          <w:szCs w:val="28"/>
          <w:lang w:val="uk-UA" w:eastAsia="uk-UA"/>
        </w:rPr>
        <w:t>у</w:t>
      </w:r>
      <w:r w:rsidR="00E365B5">
        <w:rPr>
          <w:rFonts w:ascii="Times New Roman" w:hAnsi="Times New Roman" w:cs="Times New Roman"/>
          <w:color w:val="000000" w:themeColor="text1"/>
          <w:sz w:val="28"/>
          <w:szCs w:val="28"/>
          <w:lang w:val="uk-UA" w:eastAsia="uk-UA"/>
        </w:rPr>
        <w:t xml:space="preserve"> використання води</w:t>
      </w:r>
      <w:r w:rsidR="005B04FF">
        <w:rPr>
          <w:rFonts w:ascii="Times New Roman" w:hAnsi="Times New Roman" w:cs="Times New Roman"/>
          <w:color w:val="000000" w:themeColor="text1"/>
          <w:sz w:val="28"/>
          <w:szCs w:val="28"/>
          <w:lang w:val="uk-UA" w:eastAsia="uk-UA"/>
        </w:rPr>
        <w:t xml:space="preserve"> (28,0%  квартир багатоповерхових будинків не оснащені лічильниками води).</w:t>
      </w:r>
    </w:p>
    <w:p w:rsidR="00923F17" w:rsidRDefault="00923F17" w:rsidP="00A25646">
      <w:pPr>
        <w:pStyle w:val="a3"/>
        <w:spacing w:after="0" w:line="240" w:lineRule="auto"/>
        <w:ind w:left="1134"/>
        <w:jc w:val="both"/>
        <w:rPr>
          <w:rFonts w:ascii="Times New Roman" w:hAnsi="Times New Roman" w:cs="Times New Roman"/>
          <w:color w:val="000000" w:themeColor="text1"/>
          <w:sz w:val="28"/>
          <w:szCs w:val="28"/>
          <w:lang w:val="uk-UA" w:eastAsia="uk-UA"/>
        </w:rPr>
      </w:pPr>
    </w:p>
    <w:p w:rsidR="00A25646" w:rsidRPr="00910CAF" w:rsidRDefault="00A25646" w:rsidP="00A25646">
      <w:pPr>
        <w:spacing w:after="0" w:line="240" w:lineRule="auto"/>
        <w:jc w:val="both"/>
        <w:rPr>
          <w:rFonts w:ascii="Times New Roman" w:hAnsi="Times New Roman" w:cs="Times New Roman"/>
          <w:b/>
          <w:color w:val="000000" w:themeColor="text1"/>
          <w:sz w:val="28"/>
          <w:szCs w:val="28"/>
          <w:lang w:val="uk-UA" w:eastAsia="uk-UA"/>
        </w:rPr>
      </w:pPr>
      <w:r w:rsidRPr="00910CAF">
        <w:rPr>
          <w:rFonts w:ascii="Times New Roman" w:hAnsi="Times New Roman" w:cs="Times New Roman"/>
          <w:b/>
          <w:color w:val="000000" w:themeColor="text1"/>
          <w:sz w:val="28"/>
          <w:szCs w:val="28"/>
          <w:lang w:val="uk-UA" w:eastAsia="uk-UA"/>
        </w:rPr>
        <w:t>Централізоване теплопостачання</w:t>
      </w:r>
    </w:p>
    <w:p w:rsidR="00A25646" w:rsidRPr="00A27FD8" w:rsidRDefault="00A25646" w:rsidP="009049E3">
      <w:pPr>
        <w:pStyle w:val="a3"/>
        <w:spacing w:after="0" w:line="240" w:lineRule="auto"/>
        <w:ind w:left="0" w:firstLine="567"/>
        <w:jc w:val="both"/>
        <w:rPr>
          <w:rFonts w:ascii="Times New Roman" w:hAnsi="Times New Roman" w:cs="Times New Roman"/>
          <w:color w:val="000000" w:themeColor="text1"/>
          <w:sz w:val="28"/>
          <w:szCs w:val="28"/>
          <w:lang w:eastAsia="uk-UA"/>
        </w:rPr>
      </w:pPr>
      <w:r>
        <w:rPr>
          <w:rFonts w:ascii="Times New Roman" w:hAnsi="Times New Roman" w:cs="Times New Roman"/>
          <w:color w:val="000000" w:themeColor="text1"/>
          <w:sz w:val="28"/>
          <w:szCs w:val="28"/>
          <w:lang w:val="uk-UA" w:eastAsia="uk-UA"/>
        </w:rPr>
        <w:t>Для виробництва та передачі теплової енергії у місті функціонує 55 котелень, 75 центральних теплових пунктів, 11 індивідуальних теплових пунктів. Загальна протяжність теплових мереж становить 206,7 км, з яких 157,5 км перебувають у аварійному стані (76,2%).</w:t>
      </w:r>
    </w:p>
    <w:p w:rsidR="00A25646" w:rsidRPr="00A27FD8" w:rsidRDefault="00A25646" w:rsidP="00A25646">
      <w:pPr>
        <w:pStyle w:val="a3"/>
        <w:spacing w:after="0" w:line="240" w:lineRule="auto"/>
        <w:ind w:left="0" w:firstLine="708"/>
        <w:jc w:val="both"/>
        <w:rPr>
          <w:rFonts w:ascii="Times New Roman" w:hAnsi="Times New Roman" w:cs="Times New Roman"/>
          <w:color w:val="000000" w:themeColor="text1"/>
          <w:sz w:val="28"/>
          <w:szCs w:val="28"/>
          <w:lang w:eastAsia="uk-UA"/>
        </w:rPr>
      </w:pPr>
    </w:p>
    <w:p w:rsidR="00A25646" w:rsidRPr="007B777D" w:rsidRDefault="00A25646" w:rsidP="00A25646">
      <w:pPr>
        <w:pStyle w:val="a3"/>
        <w:spacing w:after="0" w:line="240" w:lineRule="auto"/>
        <w:ind w:left="0" w:firstLine="708"/>
        <w:jc w:val="center"/>
        <w:rPr>
          <w:rFonts w:ascii="Times New Roman" w:hAnsi="Times New Roman" w:cs="Times New Roman"/>
          <w:color w:val="000000" w:themeColor="text1"/>
          <w:sz w:val="28"/>
          <w:szCs w:val="28"/>
          <w:lang w:val="en-US" w:eastAsia="uk-UA"/>
        </w:rPr>
      </w:pPr>
      <w:r>
        <w:rPr>
          <w:noProof/>
          <w:lang w:eastAsia="ru-RU"/>
        </w:rPr>
        <w:drawing>
          <wp:inline distT="0" distB="0" distL="0" distR="0">
            <wp:extent cx="4213225" cy="2371725"/>
            <wp:effectExtent l="0" t="0" r="0" b="28575"/>
            <wp:docPr id="75"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A25646" w:rsidRDefault="00A25646" w:rsidP="00A25646">
      <w:pPr>
        <w:pStyle w:val="a3"/>
        <w:spacing w:after="0" w:line="240" w:lineRule="auto"/>
        <w:ind w:left="0" w:firstLine="708"/>
        <w:jc w:val="both"/>
        <w:rPr>
          <w:rFonts w:ascii="Times New Roman" w:hAnsi="Times New Roman" w:cs="Times New Roman"/>
          <w:color w:val="000000" w:themeColor="text1"/>
          <w:sz w:val="28"/>
          <w:szCs w:val="28"/>
          <w:lang w:val="en-US" w:eastAsia="uk-UA"/>
        </w:rPr>
      </w:pPr>
    </w:p>
    <w:p w:rsidR="00A25646" w:rsidRDefault="00A25646" w:rsidP="00A25646">
      <w:pPr>
        <w:pStyle w:val="a3"/>
        <w:spacing w:after="0" w:line="240" w:lineRule="auto"/>
        <w:ind w:left="0" w:firstLine="708"/>
        <w:jc w:val="center"/>
        <w:rPr>
          <w:rFonts w:ascii="Times New Roman" w:hAnsi="Times New Roman" w:cs="Times New Roman"/>
          <w:color w:val="000000" w:themeColor="text1"/>
          <w:sz w:val="28"/>
          <w:szCs w:val="28"/>
          <w:lang w:val="en-US" w:eastAsia="uk-UA"/>
        </w:rPr>
      </w:pPr>
      <w:r>
        <w:rPr>
          <w:noProof/>
          <w:lang w:eastAsia="ru-RU"/>
        </w:rPr>
        <w:drawing>
          <wp:inline distT="0" distB="0" distL="0" distR="0">
            <wp:extent cx="3968750" cy="2057400"/>
            <wp:effectExtent l="0" t="0" r="0" b="0"/>
            <wp:docPr id="76"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C31CE8" w:rsidRPr="00C31CE8" w:rsidRDefault="00C31CE8" w:rsidP="00C31CE8">
      <w:pPr>
        <w:pStyle w:val="a3"/>
        <w:spacing w:after="0" w:line="240" w:lineRule="auto"/>
        <w:ind w:left="0" w:firstLine="708"/>
        <w:jc w:val="center"/>
        <w:rPr>
          <w:rFonts w:ascii="Times New Roman" w:hAnsi="Times New Roman" w:cs="Times New Roman"/>
          <w:color w:val="000000" w:themeColor="text1"/>
          <w:sz w:val="28"/>
          <w:szCs w:val="28"/>
          <w:lang w:val="uk-UA" w:eastAsia="uk-UA"/>
        </w:rPr>
      </w:pPr>
      <w:r w:rsidRPr="00C31CE8">
        <w:rPr>
          <w:rFonts w:ascii="Times New Roman" w:hAnsi="Times New Roman" w:cs="Times New Roman"/>
          <w:noProof/>
          <w:color w:val="000000" w:themeColor="text1"/>
          <w:sz w:val="28"/>
          <w:szCs w:val="28"/>
          <w:lang w:eastAsia="ru-RU"/>
        </w:rPr>
        <w:lastRenderedPageBreak/>
        <w:drawing>
          <wp:inline distT="0" distB="0" distL="0" distR="0">
            <wp:extent cx="4162425" cy="2419350"/>
            <wp:effectExtent l="0" t="0" r="0" b="0"/>
            <wp:docPr id="9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C31CE8" w:rsidRDefault="00C31CE8" w:rsidP="00A25646">
      <w:pPr>
        <w:pStyle w:val="a3"/>
        <w:spacing w:after="0" w:line="240" w:lineRule="auto"/>
        <w:ind w:left="0" w:firstLine="708"/>
        <w:jc w:val="both"/>
        <w:rPr>
          <w:rFonts w:ascii="Times New Roman" w:hAnsi="Times New Roman" w:cs="Times New Roman"/>
          <w:color w:val="000000" w:themeColor="text1"/>
          <w:sz w:val="28"/>
          <w:szCs w:val="28"/>
          <w:lang w:val="uk-UA" w:eastAsia="uk-UA"/>
        </w:rPr>
      </w:pPr>
    </w:p>
    <w:p w:rsidR="00A25646" w:rsidRPr="00A27FD8" w:rsidRDefault="00A25646" w:rsidP="009049E3">
      <w:pPr>
        <w:pStyle w:val="a3"/>
        <w:spacing w:after="0" w:line="240" w:lineRule="auto"/>
        <w:ind w:left="0" w:firstLine="567"/>
        <w:jc w:val="both"/>
        <w:rPr>
          <w:rFonts w:ascii="Times New Roman" w:hAnsi="Times New Roman" w:cs="Times New Roman"/>
          <w:color w:val="000000" w:themeColor="text1"/>
          <w:sz w:val="28"/>
          <w:szCs w:val="28"/>
          <w:lang w:eastAsia="uk-UA"/>
        </w:rPr>
      </w:pPr>
      <w:r>
        <w:rPr>
          <w:rFonts w:ascii="Times New Roman" w:hAnsi="Times New Roman" w:cs="Times New Roman"/>
          <w:color w:val="000000" w:themeColor="text1"/>
          <w:sz w:val="28"/>
          <w:szCs w:val="28"/>
          <w:lang w:val="uk-UA" w:eastAsia="uk-UA"/>
        </w:rPr>
        <w:t>За січень-квітень 2017 року для виробництва теплової енергії спожито 39,1 млн. м</w:t>
      </w:r>
      <w:r>
        <w:rPr>
          <w:rFonts w:ascii="Times New Roman" w:hAnsi="Times New Roman" w:cs="Times New Roman"/>
          <w:color w:val="000000" w:themeColor="text1"/>
          <w:sz w:val="28"/>
          <w:szCs w:val="28"/>
          <w:vertAlign w:val="superscript"/>
          <w:lang w:val="uk-UA" w:eastAsia="uk-UA"/>
        </w:rPr>
        <w:t>3</w:t>
      </w:r>
      <w:r>
        <w:rPr>
          <w:rFonts w:ascii="Times New Roman" w:hAnsi="Times New Roman" w:cs="Times New Roman"/>
          <w:color w:val="000000" w:themeColor="text1"/>
          <w:sz w:val="28"/>
          <w:szCs w:val="28"/>
          <w:lang w:val="uk-UA" w:eastAsia="uk-UA"/>
        </w:rPr>
        <w:t xml:space="preserve"> природного газу, що на 14,1% менше порівняно з відповідним періодом 2016 року.</w:t>
      </w:r>
    </w:p>
    <w:p w:rsidR="00A25646" w:rsidRPr="008616D3" w:rsidRDefault="00A25646" w:rsidP="00A25646">
      <w:pPr>
        <w:pStyle w:val="a3"/>
        <w:spacing w:after="0" w:line="240" w:lineRule="auto"/>
        <w:ind w:left="0" w:firstLine="708"/>
        <w:jc w:val="center"/>
        <w:rPr>
          <w:rFonts w:ascii="Times New Roman" w:hAnsi="Times New Roman" w:cs="Times New Roman"/>
          <w:color w:val="000000" w:themeColor="text1"/>
          <w:sz w:val="28"/>
          <w:szCs w:val="28"/>
          <w:lang w:val="en-US" w:eastAsia="uk-UA"/>
        </w:rPr>
      </w:pPr>
      <w:r>
        <w:rPr>
          <w:noProof/>
          <w:lang w:eastAsia="ru-RU"/>
        </w:rPr>
        <w:drawing>
          <wp:inline distT="0" distB="0" distL="0" distR="0">
            <wp:extent cx="4022725" cy="2409825"/>
            <wp:effectExtent l="0" t="0" r="0" b="0"/>
            <wp:docPr id="77"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A25646" w:rsidRDefault="00A25646" w:rsidP="00A25646">
      <w:pPr>
        <w:spacing w:after="0" w:line="240" w:lineRule="auto"/>
        <w:ind w:firstLine="708"/>
        <w:jc w:val="both"/>
        <w:rPr>
          <w:rFonts w:ascii="Times New Roman" w:hAnsi="Times New Roman" w:cs="Times New Roman"/>
          <w:color w:val="000000" w:themeColor="text1"/>
          <w:sz w:val="28"/>
          <w:szCs w:val="28"/>
          <w:lang w:val="en-US" w:eastAsia="uk-UA"/>
        </w:rPr>
      </w:pPr>
    </w:p>
    <w:p w:rsidR="00A25646" w:rsidRPr="00BB5CC6" w:rsidRDefault="00A25646" w:rsidP="009049E3">
      <w:pPr>
        <w:spacing w:after="0" w:line="240" w:lineRule="auto"/>
        <w:ind w:firstLine="567"/>
        <w:jc w:val="both"/>
        <w:rPr>
          <w:rFonts w:ascii="Times New Roman" w:hAnsi="Times New Roman" w:cs="Times New Roman"/>
          <w:color w:val="000000" w:themeColor="text1"/>
          <w:sz w:val="28"/>
          <w:szCs w:val="28"/>
          <w:lang w:val="uk-UA" w:eastAsia="uk-UA"/>
        </w:rPr>
      </w:pPr>
      <w:r w:rsidRPr="00BB5CC6">
        <w:rPr>
          <w:rFonts w:ascii="Times New Roman" w:hAnsi="Times New Roman" w:cs="Times New Roman"/>
          <w:color w:val="000000" w:themeColor="text1"/>
          <w:sz w:val="28"/>
          <w:szCs w:val="28"/>
          <w:lang w:val="uk-UA" w:eastAsia="uk-UA"/>
        </w:rPr>
        <w:t>Залишаються невирішеними наступні проблеми:</w:t>
      </w:r>
    </w:p>
    <w:p w:rsidR="00A25646" w:rsidRDefault="00A25646" w:rsidP="009049E3">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використання енергоємного застарілого обладнання, що є причиною надмірного та нераціонального споживання паливно-енергетичних ресурсів;</w:t>
      </w:r>
    </w:p>
    <w:p w:rsidR="00A25646" w:rsidRDefault="00A25646" w:rsidP="009049E3">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втрати енергоресурсів в мережах на шляху до кінцевого споживача;</w:t>
      </w:r>
    </w:p>
    <w:p w:rsidR="00A25646" w:rsidRDefault="00A25646" w:rsidP="009049E3">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не повне забезпечення спож</w:t>
      </w:r>
      <w:r w:rsidR="001830E6">
        <w:rPr>
          <w:rFonts w:ascii="Times New Roman" w:hAnsi="Times New Roman" w:cs="Times New Roman"/>
          <w:color w:val="000000" w:themeColor="text1"/>
          <w:sz w:val="28"/>
          <w:szCs w:val="28"/>
          <w:lang w:val="uk-UA" w:eastAsia="uk-UA"/>
        </w:rPr>
        <w:t>ивачів приладами обліку теплової енергії  (75,0% багатоквартирних житлових будинків не оснащені лічильниками);</w:t>
      </w:r>
    </w:p>
    <w:p w:rsidR="00A25646" w:rsidRDefault="00A25646" w:rsidP="009049E3">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слабке використання нетрадиційних та</w:t>
      </w:r>
      <w:r w:rsidR="006275E6">
        <w:rPr>
          <w:rFonts w:ascii="Times New Roman" w:hAnsi="Times New Roman" w:cs="Times New Roman"/>
          <w:color w:val="000000" w:themeColor="text1"/>
          <w:sz w:val="28"/>
          <w:szCs w:val="28"/>
          <w:lang w:val="uk-UA" w:eastAsia="uk-UA"/>
        </w:rPr>
        <w:t xml:space="preserve"> відновлювальних джерел енергії</w:t>
      </w:r>
      <w:r>
        <w:rPr>
          <w:rFonts w:ascii="Times New Roman" w:hAnsi="Times New Roman" w:cs="Times New Roman"/>
          <w:color w:val="000000" w:themeColor="text1"/>
          <w:sz w:val="28"/>
          <w:szCs w:val="28"/>
          <w:lang w:val="uk-UA" w:eastAsia="uk-UA"/>
        </w:rPr>
        <w:t xml:space="preserve"> тощо.</w:t>
      </w:r>
    </w:p>
    <w:p w:rsidR="00961519" w:rsidRDefault="00961519" w:rsidP="00961519">
      <w:pPr>
        <w:pStyle w:val="a3"/>
        <w:spacing w:after="0" w:line="240" w:lineRule="auto"/>
        <w:ind w:left="1134"/>
        <w:jc w:val="both"/>
        <w:rPr>
          <w:rFonts w:ascii="Times New Roman" w:hAnsi="Times New Roman" w:cs="Times New Roman"/>
          <w:color w:val="000000" w:themeColor="text1"/>
          <w:sz w:val="28"/>
          <w:szCs w:val="28"/>
          <w:lang w:val="uk-UA" w:eastAsia="uk-UA"/>
        </w:rPr>
      </w:pPr>
    </w:p>
    <w:p w:rsidR="00A25646" w:rsidRPr="00CB0AC0" w:rsidRDefault="00A25646" w:rsidP="00A25646">
      <w:pPr>
        <w:spacing w:after="0" w:line="240" w:lineRule="auto"/>
        <w:jc w:val="both"/>
        <w:rPr>
          <w:rFonts w:ascii="Times New Roman" w:hAnsi="Times New Roman" w:cs="Times New Roman"/>
          <w:b/>
          <w:color w:val="000000" w:themeColor="text1"/>
          <w:sz w:val="28"/>
          <w:szCs w:val="28"/>
          <w:lang w:val="uk-UA" w:eastAsia="uk-UA"/>
        </w:rPr>
      </w:pPr>
      <w:r w:rsidRPr="00CB0AC0">
        <w:rPr>
          <w:rFonts w:ascii="Times New Roman" w:hAnsi="Times New Roman" w:cs="Times New Roman"/>
          <w:b/>
          <w:color w:val="000000" w:themeColor="text1"/>
          <w:sz w:val="28"/>
          <w:szCs w:val="28"/>
          <w:lang w:val="uk-UA" w:eastAsia="uk-UA"/>
        </w:rPr>
        <w:t>Благоустрій</w:t>
      </w:r>
    </w:p>
    <w:p w:rsidR="00A25646" w:rsidRDefault="00A25646" w:rsidP="009049E3">
      <w:pPr>
        <w:pStyle w:val="a3"/>
        <w:spacing w:after="0" w:line="240" w:lineRule="auto"/>
        <w:ind w:left="0"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 xml:space="preserve">Загальна протяжність вулично-дорожньої мережі міста становить 384,7 км. При цьому, протяжність асфальтно-бетонним покриттям становить </w:t>
      </w:r>
      <w:r>
        <w:rPr>
          <w:rFonts w:ascii="Times New Roman" w:hAnsi="Times New Roman" w:cs="Times New Roman"/>
          <w:color w:val="000000" w:themeColor="text1"/>
          <w:sz w:val="28"/>
          <w:szCs w:val="28"/>
          <w:lang w:val="uk-UA" w:eastAsia="uk-UA"/>
        </w:rPr>
        <w:lastRenderedPageBreak/>
        <w:t>219,5 км (57,0% загальної протяжності), з щебеневим покриттям – 165,2 км (43,0%).</w:t>
      </w:r>
    </w:p>
    <w:p w:rsidR="00A25646" w:rsidRPr="00D15893" w:rsidRDefault="00376D53" w:rsidP="00A25646">
      <w:pPr>
        <w:pStyle w:val="a3"/>
        <w:spacing w:after="0" w:line="240" w:lineRule="auto"/>
        <w:ind w:left="0" w:firstLine="708"/>
        <w:jc w:val="center"/>
        <w:rPr>
          <w:rFonts w:ascii="Times New Roman" w:hAnsi="Times New Roman" w:cs="Times New Roman"/>
          <w:color w:val="000000" w:themeColor="text1"/>
          <w:sz w:val="28"/>
          <w:szCs w:val="28"/>
          <w:lang w:val="en-US" w:eastAsia="uk-UA"/>
        </w:rPr>
      </w:pPr>
      <w:r>
        <w:rPr>
          <w:noProof/>
          <w:lang w:eastAsia="ru-RU"/>
        </w:rPr>
        <w:drawing>
          <wp:inline distT="0" distB="0" distL="0" distR="0" wp14:anchorId="632B562F" wp14:editId="6BC0516D">
            <wp:extent cx="4572000" cy="2743200"/>
            <wp:effectExtent l="0" t="0" r="0" b="0"/>
            <wp:docPr id="51"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A25646" w:rsidRDefault="00A25646" w:rsidP="009049E3">
      <w:pPr>
        <w:pStyle w:val="a3"/>
        <w:spacing w:after="0" w:line="240" w:lineRule="auto"/>
        <w:ind w:left="0"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Станом на 01.09.2017 року капітальним ремонтом відремонтовано 27,4 тис.м</w:t>
      </w:r>
      <w:r>
        <w:rPr>
          <w:rFonts w:ascii="Times New Roman" w:hAnsi="Times New Roman" w:cs="Times New Roman"/>
          <w:color w:val="000000" w:themeColor="text1"/>
          <w:sz w:val="28"/>
          <w:szCs w:val="28"/>
          <w:vertAlign w:val="superscript"/>
          <w:lang w:val="uk-UA" w:eastAsia="uk-UA"/>
        </w:rPr>
        <w:t>2</w:t>
      </w:r>
      <w:r>
        <w:rPr>
          <w:rFonts w:ascii="Times New Roman" w:hAnsi="Times New Roman" w:cs="Times New Roman"/>
          <w:color w:val="000000" w:themeColor="text1"/>
          <w:sz w:val="28"/>
          <w:szCs w:val="28"/>
          <w:lang w:val="uk-UA" w:eastAsia="uk-UA"/>
        </w:rPr>
        <w:t xml:space="preserve"> доріг, поточним – 50,8 тис.м</w:t>
      </w:r>
      <w:r>
        <w:rPr>
          <w:rFonts w:ascii="Times New Roman" w:hAnsi="Times New Roman" w:cs="Times New Roman"/>
          <w:color w:val="000000" w:themeColor="text1"/>
          <w:sz w:val="28"/>
          <w:szCs w:val="28"/>
          <w:vertAlign w:val="superscript"/>
          <w:lang w:val="uk-UA" w:eastAsia="uk-UA"/>
        </w:rPr>
        <w:t>2</w:t>
      </w:r>
      <w:r>
        <w:rPr>
          <w:rFonts w:ascii="Times New Roman" w:hAnsi="Times New Roman" w:cs="Times New Roman"/>
          <w:color w:val="000000" w:themeColor="text1"/>
          <w:sz w:val="28"/>
          <w:szCs w:val="28"/>
          <w:lang w:val="uk-UA" w:eastAsia="uk-UA"/>
        </w:rPr>
        <w:t>.</w:t>
      </w:r>
    </w:p>
    <w:p w:rsidR="0085213F" w:rsidRPr="00A27FD8" w:rsidRDefault="0085213F" w:rsidP="00A25646">
      <w:pPr>
        <w:pStyle w:val="a3"/>
        <w:spacing w:after="0" w:line="240" w:lineRule="auto"/>
        <w:ind w:left="0" w:firstLine="708"/>
        <w:jc w:val="both"/>
        <w:rPr>
          <w:rFonts w:ascii="Times New Roman" w:hAnsi="Times New Roman" w:cs="Times New Roman"/>
          <w:color w:val="000000" w:themeColor="text1"/>
          <w:sz w:val="28"/>
          <w:szCs w:val="28"/>
          <w:lang w:eastAsia="uk-UA"/>
        </w:rPr>
      </w:pPr>
    </w:p>
    <w:p w:rsidR="00A25646" w:rsidRPr="006A6FB1" w:rsidRDefault="00A25646" w:rsidP="00A25646">
      <w:pPr>
        <w:pStyle w:val="a3"/>
        <w:spacing w:after="0" w:line="240" w:lineRule="auto"/>
        <w:ind w:left="0" w:firstLine="708"/>
        <w:jc w:val="center"/>
        <w:rPr>
          <w:rFonts w:ascii="Times New Roman" w:hAnsi="Times New Roman" w:cs="Times New Roman"/>
          <w:color w:val="000000" w:themeColor="text1"/>
          <w:sz w:val="28"/>
          <w:szCs w:val="28"/>
          <w:lang w:val="en-US" w:eastAsia="uk-UA"/>
        </w:rPr>
      </w:pPr>
      <w:r>
        <w:rPr>
          <w:noProof/>
          <w:lang w:eastAsia="ru-RU"/>
        </w:rPr>
        <w:drawing>
          <wp:inline distT="0" distB="0" distL="0" distR="0">
            <wp:extent cx="4114800" cy="2628900"/>
            <wp:effectExtent l="0" t="0" r="0" b="0"/>
            <wp:docPr id="79"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A25646" w:rsidRDefault="00A25646" w:rsidP="009049E3">
      <w:pPr>
        <w:pStyle w:val="a3"/>
        <w:spacing w:after="0" w:line="240" w:lineRule="auto"/>
        <w:ind w:left="0" w:firstLine="567"/>
        <w:jc w:val="both"/>
        <w:rPr>
          <w:rFonts w:ascii="Times New Roman" w:hAnsi="Times New Roman" w:cs="Times New Roman"/>
          <w:color w:val="000000" w:themeColor="text1"/>
          <w:sz w:val="28"/>
          <w:szCs w:val="28"/>
          <w:lang w:val="en-US" w:eastAsia="uk-UA"/>
        </w:rPr>
      </w:pPr>
      <w:r>
        <w:rPr>
          <w:rFonts w:ascii="Times New Roman" w:hAnsi="Times New Roman" w:cs="Times New Roman"/>
          <w:color w:val="000000" w:themeColor="text1"/>
          <w:sz w:val="28"/>
          <w:szCs w:val="28"/>
          <w:lang w:val="uk-UA" w:eastAsia="uk-UA"/>
        </w:rPr>
        <w:t>Загальна протяжність мереж зовнішнього освітлення становить 538,3 км, кількість світлоточок – 14,7 тис. одиниць, з них 5,7 тис. енергозберігаючих світлоточок (39,0%).</w:t>
      </w:r>
    </w:p>
    <w:p w:rsidR="00A25646" w:rsidRDefault="00A25646" w:rsidP="00A25646">
      <w:pPr>
        <w:pStyle w:val="a3"/>
        <w:spacing w:after="0" w:line="240" w:lineRule="auto"/>
        <w:ind w:left="0" w:firstLine="708"/>
        <w:jc w:val="both"/>
        <w:rPr>
          <w:rFonts w:ascii="Times New Roman" w:hAnsi="Times New Roman" w:cs="Times New Roman"/>
          <w:color w:val="000000" w:themeColor="text1"/>
          <w:sz w:val="28"/>
          <w:szCs w:val="28"/>
          <w:lang w:val="en-US" w:eastAsia="uk-UA"/>
        </w:rPr>
      </w:pPr>
    </w:p>
    <w:p w:rsidR="00A25646" w:rsidRPr="00AC45B2" w:rsidRDefault="00A25646" w:rsidP="000E6D9F">
      <w:pPr>
        <w:pStyle w:val="a3"/>
        <w:spacing w:after="0" w:line="240" w:lineRule="auto"/>
        <w:ind w:left="0" w:hanging="567"/>
        <w:jc w:val="both"/>
        <w:rPr>
          <w:rFonts w:ascii="Times New Roman" w:hAnsi="Times New Roman" w:cs="Times New Roman"/>
          <w:color w:val="000000" w:themeColor="text1"/>
          <w:sz w:val="28"/>
          <w:szCs w:val="28"/>
          <w:lang w:val="en-US" w:eastAsia="uk-UA"/>
        </w:rPr>
      </w:pPr>
      <w:r>
        <w:rPr>
          <w:noProof/>
          <w:lang w:eastAsia="ru-RU"/>
        </w:rPr>
        <w:drawing>
          <wp:inline distT="0" distB="0" distL="0" distR="0">
            <wp:extent cx="2673350" cy="1727200"/>
            <wp:effectExtent l="0" t="0" r="0" b="6350"/>
            <wp:docPr id="80"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r>
        <w:rPr>
          <w:noProof/>
          <w:lang w:eastAsia="ru-RU"/>
        </w:rPr>
        <w:drawing>
          <wp:inline distT="0" distB="0" distL="0" distR="0">
            <wp:extent cx="3238500" cy="1733550"/>
            <wp:effectExtent l="19050" t="0" r="0" b="0"/>
            <wp:docPr id="81"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A25646" w:rsidRDefault="00A25646" w:rsidP="009049E3">
      <w:pPr>
        <w:pStyle w:val="a3"/>
        <w:spacing w:after="0" w:line="240" w:lineRule="auto"/>
        <w:ind w:left="0" w:firstLine="567"/>
        <w:jc w:val="both"/>
        <w:rPr>
          <w:rFonts w:ascii="Times New Roman" w:hAnsi="Times New Roman" w:cs="Times New Roman"/>
          <w:color w:val="000000" w:themeColor="text1"/>
          <w:sz w:val="28"/>
          <w:szCs w:val="28"/>
          <w:lang w:val="uk-UA" w:eastAsia="uk-UA"/>
        </w:rPr>
      </w:pPr>
      <w:r w:rsidRPr="00F80CE1">
        <w:rPr>
          <w:rFonts w:ascii="Times New Roman" w:hAnsi="Times New Roman" w:cs="Times New Roman"/>
          <w:color w:val="000000" w:themeColor="text1"/>
          <w:sz w:val="28"/>
          <w:szCs w:val="28"/>
          <w:lang w:val="uk-UA" w:eastAsia="uk-UA"/>
        </w:rPr>
        <w:lastRenderedPageBreak/>
        <w:t xml:space="preserve">В місті функціонує 2 парки загальною площею 91,6 га, 68 </w:t>
      </w:r>
      <w:r>
        <w:rPr>
          <w:rFonts w:ascii="Times New Roman" w:hAnsi="Times New Roman" w:cs="Times New Roman"/>
          <w:color w:val="000000" w:themeColor="text1"/>
          <w:sz w:val="28"/>
          <w:szCs w:val="28"/>
          <w:lang w:val="uk-UA" w:eastAsia="uk-UA"/>
        </w:rPr>
        <w:t xml:space="preserve">скверів загальною площею 24,4 га та 131 га лісів. </w:t>
      </w:r>
      <w:r w:rsidRPr="00316481">
        <w:rPr>
          <w:rFonts w:ascii="Times New Roman" w:hAnsi="Times New Roman" w:cs="Times New Roman"/>
          <w:color w:val="000000" w:themeColor="text1"/>
          <w:sz w:val="28"/>
          <w:szCs w:val="28"/>
          <w:lang w:val="uk-UA" w:eastAsia="uk-UA"/>
        </w:rPr>
        <w:t xml:space="preserve">Площа зелених насаджень складає 2230,0 га, </w:t>
      </w:r>
      <w:r w:rsidR="00316481" w:rsidRPr="00316481">
        <w:rPr>
          <w:rFonts w:ascii="Times New Roman" w:hAnsi="Times New Roman" w:cs="Times New Roman"/>
          <w:color w:val="000000" w:themeColor="text1"/>
          <w:sz w:val="28"/>
          <w:szCs w:val="28"/>
          <w:lang w:val="uk-UA" w:eastAsia="uk-UA"/>
        </w:rPr>
        <w:t>що становить 36,5 % від загальної площі території міста.</w:t>
      </w:r>
      <w:r w:rsidR="00316481">
        <w:rPr>
          <w:rFonts w:ascii="Times New Roman" w:hAnsi="Times New Roman" w:cs="Times New Roman"/>
          <w:color w:val="FF0000"/>
          <w:sz w:val="28"/>
          <w:szCs w:val="28"/>
          <w:lang w:val="uk-UA" w:eastAsia="uk-UA"/>
        </w:rPr>
        <w:t xml:space="preserve"> </w:t>
      </w:r>
      <w:r>
        <w:rPr>
          <w:rFonts w:ascii="Times New Roman" w:hAnsi="Times New Roman" w:cs="Times New Roman"/>
          <w:color w:val="000000" w:themeColor="text1"/>
          <w:sz w:val="28"/>
          <w:szCs w:val="28"/>
          <w:lang w:val="uk-UA" w:eastAsia="uk-UA"/>
        </w:rPr>
        <w:t>З метою озеленення міста щороку висаджується більше тисячі дерев.</w:t>
      </w:r>
    </w:p>
    <w:p w:rsidR="00961519" w:rsidRPr="00A27FD8" w:rsidRDefault="00961519" w:rsidP="009049E3">
      <w:pPr>
        <w:pStyle w:val="a3"/>
        <w:spacing w:after="0" w:line="240" w:lineRule="auto"/>
        <w:ind w:left="0" w:firstLine="567"/>
        <w:jc w:val="both"/>
        <w:rPr>
          <w:rFonts w:ascii="Times New Roman" w:hAnsi="Times New Roman" w:cs="Times New Roman"/>
          <w:color w:val="000000" w:themeColor="text1"/>
          <w:sz w:val="28"/>
          <w:szCs w:val="28"/>
          <w:lang w:val="uk-UA" w:eastAsia="uk-UA"/>
        </w:rPr>
      </w:pPr>
    </w:p>
    <w:p w:rsidR="00A25646" w:rsidRPr="007570D6" w:rsidRDefault="00A25646" w:rsidP="00A25646">
      <w:pPr>
        <w:pStyle w:val="a3"/>
        <w:spacing w:after="0" w:line="240" w:lineRule="auto"/>
        <w:ind w:left="0"/>
        <w:jc w:val="center"/>
        <w:rPr>
          <w:rFonts w:ascii="Times New Roman" w:hAnsi="Times New Roman" w:cs="Times New Roman"/>
          <w:color w:val="000000" w:themeColor="text1"/>
          <w:sz w:val="28"/>
          <w:szCs w:val="28"/>
          <w:lang w:val="en-US" w:eastAsia="uk-UA"/>
        </w:rPr>
      </w:pPr>
      <w:r>
        <w:rPr>
          <w:noProof/>
          <w:lang w:eastAsia="ru-RU"/>
        </w:rPr>
        <w:drawing>
          <wp:inline distT="0" distB="0" distL="0" distR="0">
            <wp:extent cx="3971925" cy="2362200"/>
            <wp:effectExtent l="0" t="0" r="0" b="0"/>
            <wp:docPr id="82"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A25646" w:rsidRPr="00F80CE1" w:rsidRDefault="00A25646" w:rsidP="009049E3">
      <w:pPr>
        <w:pStyle w:val="a3"/>
        <w:spacing w:after="0" w:line="240" w:lineRule="auto"/>
        <w:ind w:left="0"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Невирішеними залишаються наступні проблеми:</w:t>
      </w:r>
    </w:p>
    <w:p w:rsidR="00A25646" w:rsidRDefault="00A25646" w:rsidP="009049E3">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незадовільний технічний стан доріг, вулиць, мостів, шляхопроводів та внутрішньобудинкових проїздів;</w:t>
      </w:r>
    </w:p>
    <w:p w:rsidR="00A25646" w:rsidRDefault="00A25646" w:rsidP="009049E3">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наявність ділянок зливової мережі, що не забезпечу</w:t>
      </w:r>
      <w:r w:rsidR="006275E6">
        <w:rPr>
          <w:rFonts w:ascii="Times New Roman" w:hAnsi="Times New Roman" w:cs="Times New Roman"/>
          <w:color w:val="000000" w:themeColor="text1"/>
          <w:sz w:val="28"/>
          <w:szCs w:val="28"/>
          <w:lang w:val="uk-UA" w:eastAsia="uk-UA"/>
        </w:rPr>
        <w:t>ють</w:t>
      </w:r>
      <w:r>
        <w:rPr>
          <w:rFonts w:ascii="Times New Roman" w:hAnsi="Times New Roman" w:cs="Times New Roman"/>
          <w:color w:val="000000" w:themeColor="text1"/>
          <w:sz w:val="28"/>
          <w:szCs w:val="28"/>
          <w:lang w:val="uk-UA" w:eastAsia="uk-UA"/>
        </w:rPr>
        <w:t xml:space="preserve"> своєчасне водовідведення з проїжджої частини та відсутність зливових мереж в районах приватної забудови;</w:t>
      </w:r>
    </w:p>
    <w:p w:rsidR="00A25646" w:rsidRDefault="00A25646" w:rsidP="009049E3">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наявність зношених інженерних мереж та оглядових колодязів під проїжджою частиною вулиць;</w:t>
      </w:r>
    </w:p>
    <w:p w:rsidR="00A25646" w:rsidRDefault="00A25646" w:rsidP="009049E3">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незадовільний технічний стан об’єктів благоустрою зеленого господарства та фонтанів міста;</w:t>
      </w:r>
    </w:p>
    <w:p w:rsidR="00A25646" w:rsidRPr="007B532B" w:rsidRDefault="00A25646" w:rsidP="009049E3">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sidRPr="007B532B">
        <w:rPr>
          <w:rFonts w:ascii="Times New Roman" w:hAnsi="Times New Roman" w:cs="Times New Roman"/>
          <w:color w:val="000000" w:themeColor="text1"/>
          <w:sz w:val="28"/>
          <w:szCs w:val="28"/>
          <w:lang w:val="uk-UA" w:eastAsia="uk-UA"/>
        </w:rPr>
        <w:t>зношений рухомий склад автотранспорту та спеціалізованих механізмі</w:t>
      </w:r>
      <w:r w:rsidR="007B532B" w:rsidRPr="007B532B">
        <w:rPr>
          <w:rFonts w:ascii="Times New Roman" w:hAnsi="Times New Roman" w:cs="Times New Roman"/>
          <w:color w:val="000000" w:themeColor="text1"/>
          <w:sz w:val="28"/>
          <w:szCs w:val="28"/>
          <w:lang w:val="uk-UA" w:eastAsia="uk-UA"/>
        </w:rPr>
        <w:t>в комунальних підприємств міста (загальна кількість рухомого складу</w:t>
      </w:r>
      <w:r w:rsidR="005A2BB6">
        <w:rPr>
          <w:rFonts w:ascii="Times New Roman" w:hAnsi="Times New Roman" w:cs="Times New Roman"/>
          <w:color w:val="000000" w:themeColor="text1"/>
          <w:sz w:val="28"/>
          <w:szCs w:val="28"/>
          <w:lang w:val="uk-UA" w:eastAsia="uk-UA"/>
        </w:rPr>
        <w:t xml:space="preserve"> 295 одиниць</w:t>
      </w:r>
      <w:r w:rsidR="007161A2">
        <w:rPr>
          <w:rFonts w:ascii="Times New Roman" w:hAnsi="Times New Roman" w:cs="Times New Roman"/>
          <w:color w:val="000000" w:themeColor="text1"/>
          <w:sz w:val="28"/>
          <w:szCs w:val="28"/>
          <w:lang w:val="uk-UA" w:eastAsia="uk-UA"/>
        </w:rPr>
        <w:t xml:space="preserve"> з них 94 од. (31,9%)</w:t>
      </w:r>
      <w:r w:rsidR="007B532B" w:rsidRPr="007B532B">
        <w:rPr>
          <w:rFonts w:ascii="Times New Roman" w:hAnsi="Times New Roman" w:cs="Times New Roman"/>
          <w:color w:val="000000" w:themeColor="text1"/>
          <w:sz w:val="28"/>
          <w:szCs w:val="28"/>
          <w:lang w:val="uk-UA" w:eastAsia="uk-UA"/>
        </w:rPr>
        <w:t xml:space="preserve"> оновлені, </w:t>
      </w:r>
      <w:r w:rsidR="007161A2">
        <w:rPr>
          <w:rFonts w:ascii="Times New Roman" w:hAnsi="Times New Roman" w:cs="Times New Roman"/>
          <w:color w:val="000000" w:themeColor="text1"/>
          <w:sz w:val="28"/>
          <w:szCs w:val="28"/>
          <w:lang w:val="uk-UA" w:eastAsia="uk-UA"/>
        </w:rPr>
        <w:t xml:space="preserve">            </w:t>
      </w:r>
      <w:r w:rsidR="007B532B" w:rsidRPr="007B532B">
        <w:rPr>
          <w:rFonts w:ascii="Times New Roman" w:hAnsi="Times New Roman" w:cs="Times New Roman"/>
          <w:color w:val="000000" w:themeColor="text1"/>
          <w:sz w:val="28"/>
          <w:szCs w:val="28"/>
          <w:lang w:val="uk-UA" w:eastAsia="uk-UA"/>
        </w:rPr>
        <w:t>201 од. (</w:t>
      </w:r>
      <w:r w:rsidR="00570E4E">
        <w:rPr>
          <w:rFonts w:ascii="Times New Roman" w:hAnsi="Times New Roman" w:cs="Times New Roman"/>
          <w:color w:val="000000" w:themeColor="text1"/>
          <w:sz w:val="28"/>
          <w:szCs w:val="28"/>
          <w:lang w:val="uk-UA" w:eastAsia="uk-UA"/>
        </w:rPr>
        <w:t>68,1%) застаріла</w:t>
      </w:r>
      <w:r w:rsidR="007B532B" w:rsidRPr="007B532B">
        <w:rPr>
          <w:rFonts w:ascii="Times New Roman" w:hAnsi="Times New Roman" w:cs="Times New Roman"/>
          <w:color w:val="000000" w:themeColor="text1"/>
          <w:sz w:val="28"/>
          <w:szCs w:val="28"/>
          <w:lang w:val="uk-UA" w:eastAsia="uk-UA"/>
        </w:rPr>
        <w:t>);</w:t>
      </w:r>
    </w:p>
    <w:p w:rsidR="00A25646" w:rsidRPr="005A2BB6" w:rsidRDefault="00B81092" w:rsidP="009049E3">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недостатня кількість громадських туалетів (в місті</w:t>
      </w:r>
      <w:r w:rsidR="009900A9">
        <w:rPr>
          <w:rFonts w:ascii="Times New Roman" w:hAnsi="Times New Roman" w:cs="Times New Roman"/>
          <w:color w:val="000000" w:themeColor="text1"/>
          <w:sz w:val="28"/>
          <w:szCs w:val="28"/>
          <w:lang w:val="uk-UA" w:eastAsia="uk-UA"/>
        </w:rPr>
        <w:t xml:space="preserve"> фун</w:t>
      </w:r>
      <w:r w:rsidR="004E1100">
        <w:rPr>
          <w:rFonts w:ascii="Times New Roman" w:hAnsi="Times New Roman" w:cs="Times New Roman"/>
          <w:color w:val="000000" w:themeColor="text1"/>
          <w:sz w:val="28"/>
          <w:szCs w:val="28"/>
          <w:lang w:val="uk-UA" w:eastAsia="uk-UA"/>
        </w:rPr>
        <w:t xml:space="preserve">кціонує 12 </w:t>
      </w:r>
      <w:r w:rsidR="006B0254">
        <w:rPr>
          <w:rFonts w:ascii="Times New Roman" w:hAnsi="Times New Roman" w:cs="Times New Roman"/>
          <w:color w:val="000000" w:themeColor="text1"/>
          <w:sz w:val="28"/>
          <w:szCs w:val="28"/>
          <w:lang w:val="uk-UA" w:eastAsia="uk-UA"/>
        </w:rPr>
        <w:t>громадських туалетів, а має бути</w:t>
      </w:r>
      <w:r w:rsidR="004E1100">
        <w:rPr>
          <w:rFonts w:ascii="Times New Roman" w:hAnsi="Times New Roman" w:cs="Times New Roman"/>
          <w:color w:val="000000" w:themeColor="text1"/>
          <w:sz w:val="28"/>
          <w:szCs w:val="28"/>
          <w:lang w:val="uk-UA" w:eastAsia="uk-UA"/>
        </w:rPr>
        <w:t xml:space="preserve"> 70).</w:t>
      </w:r>
    </w:p>
    <w:p w:rsidR="00A25646" w:rsidRDefault="00A25646" w:rsidP="00A25646">
      <w:pPr>
        <w:pStyle w:val="a3"/>
        <w:spacing w:after="0" w:line="240" w:lineRule="auto"/>
        <w:ind w:left="1134"/>
        <w:jc w:val="both"/>
        <w:rPr>
          <w:rFonts w:ascii="Times New Roman" w:hAnsi="Times New Roman" w:cs="Times New Roman"/>
          <w:color w:val="000000" w:themeColor="text1"/>
          <w:sz w:val="28"/>
          <w:szCs w:val="28"/>
          <w:lang w:val="uk-UA" w:eastAsia="uk-UA"/>
        </w:rPr>
      </w:pPr>
    </w:p>
    <w:p w:rsidR="00A25646" w:rsidRDefault="00A25646" w:rsidP="00A25646">
      <w:pPr>
        <w:spacing w:after="0" w:line="240" w:lineRule="auto"/>
        <w:jc w:val="both"/>
        <w:rPr>
          <w:rFonts w:ascii="Times New Roman" w:hAnsi="Times New Roman" w:cs="Times New Roman"/>
          <w:b/>
          <w:color w:val="000000" w:themeColor="text1"/>
          <w:sz w:val="28"/>
          <w:szCs w:val="28"/>
          <w:lang w:val="uk-UA" w:eastAsia="uk-UA"/>
        </w:rPr>
      </w:pPr>
      <w:r w:rsidRPr="00637DE2">
        <w:rPr>
          <w:rFonts w:ascii="Times New Roman" w:hAnsi="Times New Roman" w:cs="Times New Roman"/>
          <w:b/>
          <w:color w:val="000000" w:themeColor="text1"/>
          <w:sz w:val="28"/>
          <w:szCs w:val="28"/>
          <w:lang w:val="uk-UA" w:eastAsia="uk-UA"/>
        </w:rPr>
        <w:t>Санітарний стан</w:t>
      </w:r>
    </w:p>
    <w:p w:rsidR="007601FE" w:rsidRDefault="007601FE" w:rsidP="009049E3">
      <w:pPr>
        <w:pStyle w:val="a3"/>
        <w:tabs>
          <w:tab w:val="left" w:pos="567"/>
        </w:tabs>
        <w:spacing w:after="0" w:line="240" w:lineRule="auto"/>
        <w:ind w:left="0"/>
        <w:jc w:val="both"/>
        <w:rPr>
          <w:rFonts w:ascii="Times New Roman" w:hAnsi="Times New Roman" w:cs="Times New Roman"/>
          <w:color w:val="000000" w:themeColor="text1"/>
          <w:sz w:val="28"/>
          <w:szCs w:val="28"/>
          <w:lang w:val="uk-UA" w:eastAsia="uk-UA"/>
        </w:rPr>
      </w:pPr>
      <w:r>
        <w:rPr>
          <w:rFonts w:ascii="Times New Roman" w:hAnsi="Times New Roman" w:cs="Times New Roman"/>
          <w:b/>
          <w:color w:val="000000" w:themeColor="text1"/>
          <w:sz w:val="28"/>
          <w:szCs w:val="28"/>
          <w:lang w:val="uk-UA" w:eastAsia="uk-UA"/>
        </w:rPr>
        <w:tab/>
      </w:r>
      <w:r>
        <w:rPr>
          <w:rFonts w:ascii="Times New Roman" w:hAnsi="Times New Roman" w:cs="Times New Roman"/>
          <w:color w:val="000000" w:themeColor="text1"/>
          <w:sz w:val="28"/>
          <w:szCs w:val="28"/>
          <w:lang w:val="uk-UA" w:eastAsia="uk-UA"/>
        </w:rPr>
        <w:t>Загальна площа міського полігону по захороненню твердих побутових відходів становить 21,5 га, де накопичилось 13,1 млн.м</w:t>
      </w:r>
      <w:r>
        <w:rPr>
          <w:rFonts w:ascii="Times New Roman" w:hAnsi="Times New Roman" w:cs="Times New Roman"/>
          <w:color w:val="000000" w:themeColor="text1"/>
          <w:sz w:val="28"/>
          <w:szCs w:val="28"/>
          <w:vertAlign w:val="superscript"/>
          <w:lang w:val="uk-UA" w:eastAsia="uk-UA"/>
        </w:rPr>
        <w:t>3</w:t>
      </w:r>
      <w:r>
        <w:rPr>
          <w:rFonts w:ascii="Times New Roman" w:hAnsi="Times New Roman" w:cs="Times New Roman"/>
          <w:color w:val="000000" w:themeColor="text1"/>
          <w:sz w:val="28"/>
          <w:szCs w:val="28"/>
          <w:lang w:val="uk-UA" w:eastAsia="uk-UA"/>
        </w:rPr>
        <w:t xml:space="preserve"> сміття. </w:t>
      </w:r>
    </w:p>
    <w:p w:rsidR="009A7E3E" w:rsidRDefault="009A7E3E" w:rsidP="009049E3">
      <w:pPr>
        <w:pStyle w:val="a3"/>
        <w:tabs>
          <w:tab w:val="left" w:pos="567"/>
        </w:tabs>
        <w:spacing w:after="0" w:line="240" w:lineRule="auto"/>
        <w:ind w:left="0"/>
        <w:jc w:val="both"/>
        <w:rPr>
          <w:rFonts w:ascii="Times New Roman" w:hAnsi="Times New Roman" w:cs="Times New Roman"/>
          <w:color w:val="000000" w:themeColor="text1"/>
          <w:sz w:val="28"/>
          <w:szCs w:val="28"/>
          <w:lang w:val="uk-UA" w:eastAsia="uk-UA"/>
        </w:rPr>
      </w:pPr>
    </w:p>
    <w:p w:rsidR="007601FE" w:rsidRPr="00406F49" w:rsidRDefault="007601FE" w:rsidP="007601FE">
      <w:pPr>
        <w:pStyle w:val="a3"/>
        <w:spacing w:after="0" w:line="240" w:lineRule="auto"/>
        <w:ind w:left="0" w:firstLine="708"/>
        <w:jc w:val="both"/>
        <w:rPr>
          <w:rFonts w:ascii="Times New Roman" w:hAnsi="Times New Roman" w:cs="Times New Roman"/>
          <w:color w:val="000000" w:themeColor="text1"/>
          <w:sz w:val="16"/>
          <w:szCs w:val="16"/>
          <w:lang w:val="uk-UA" w:eastAsia="uk-UA"/>
        </w:rPr>
      </w:pPr>
    </w:p>
    <w:p w:rsidR="00A25646" w:rsidRDefault="00A25646" w:rsidP="007601FE">
      <w:pPr>
        <w:pStyle w:val="a3"/>
        <w:spacing w:after="0" w:line="240" w:lineRule="auto"/>
        <w:ind w:left="0"/>
        <w:jc w:val="center"/>
        <w:rPr>
          <w:rFonts w:ascii="Times New Roman" w:hAnsi="Times New Roman" w:cs="Times New Roman"/>
          <w:color w:val="000000" w:themeColor="text1"/>
          <w:sz w:val="28"/>
          <w:szCs w:val="28"/>
          <w:lang w:val="uk-UA" w:eastAsia="uk-UA"/>
        </w:rPr>
      </w:pPr>
      <w:r>
        <w:rPr>
          <w:noProof/>
          <w:lang w:eastAsia="ru-RU"/>
        </w:rPr>
        <w:lastRenderedPageBreak/>
        <w:drawing>
          <wp:inline distT="0" distB="0" distL="0" distR="0">
            <wp:extent cx="3352800" cy="2333625"/>
            <wp:effectExtent l="0" t="0" r="0" b="0"/>
            <wp:docPr id="83"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9A7E3E" w:rsidRDefault="009A7E3E" w:rsidP="007601FE">
      <w:pPr>
        <w:pStyle w:val="a3"/>
        <w:spacing w:after="0" w:line="240" w:lineRule="auto"/>
        <w:ind w:left="0"/>
        <w:jc w:val="center"/>
        <w:rPr>
          <w:rFonts w:ascii="Times New Roman" w:hAnsi="Times New Roman" w:cs="Times New Roman"/>
          <w:color w:val="000000" w:themeColor="text1"/>
          <w:sz w:val="28"/>
          <w:szCs w:val="28"/>
          <w:lang w:val="uk-UA" w:eastAsia="uk-UA"/>
        </w:rPr>
      </w:pPr>
    </w:p>
    <w:p w:rsidR="00A25646" w:rsidRDefault="00A25646" w:rsidP="009049E3">
      <w:pPr>
        <w:pStyle w:val="a3"/>
        <w:spacing w:after="0" w:line="240" w:lineRule="auto"/>
        <w:ind w:left="0"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Для збору сміття встановлено 1800 контейнерів, з них 699 для роздільного збору</w:t>
      </w:r>
      <w:r w:rsidR="001D33F6">
        <w:rPr>
          <w:rFonts w:ascii="Times New Roman" w:hAnsi="Times New Roman" w:cs="Times New Roman"/>
          <w:color w:val="000000" w:themeColor="text1"/>
          <w:sz w:val="28"/>
          <w:szCs w:val="28"/>
          <w:lang w:val="uk-UA" w:eastAsia="uk-UA"/>
        </w:rPr>
        <w:t xml:space="preserve">. В 2017 році </w:t>
      </w:r>
      <w:r>
        <w:rPr>
          <w:rFonts w:ascii="Times New Roman" w:hAnsi="Times New Roman" w:cs="Times New Roman"/>
          <w:color w:val="000000" w:themeColor="text1"/>
          <w:sz w:val="28"/>
          <w:szCs w:val="28"/>
          <w:lang w:val="uk-UA" w:eastAsia="uk-UA"/>
        </w:rPr>
        <w:t xml:space="preserve">облаштовано 7 </w:t>
      </w:r>
      <w:r w:rsidR="001D33F6">
        <w:rPr>
          <w:rFonts w:ascii="Times New Roman" w:hAnsi="Times New Roman" w:cs="Times New Roman"/>
          <w:color w:val="000000" w:themeColor="text1"/>
          <w:sz w:val="28"/>
          <w:szCs w:val="28"/>
          <w:lang w:val="uk-UA" w:eastAsia="uk-UA"/>
        </w:rPr>
        <w:t xml:space="preserve">нових </w:t>
      </w:r>
      <w:r>
        <w:rPr>
          <w:rFonts w:ascii="Times New Roman" w:hAnsi="Times New Roman" w:cs="Times New Roman"/>
          <w:color w:val="000000" w:themeColor="text1"/>
          <w:sz w:val="28"/>
          <w:szCs w:val="28"/>
          <w:lang w:val="uk-UA" w:eastAsia="uk-UA"/>
        </w:rPr>
        <w:t>майданчиків для збору ТПВ.</w:t>
      </w:r>
    </w:p>
    <w:p w:rsidR="00A25646" w:rsidRDefault="00A25646" w:rsidP="00A25646">
      <w:pPr>
        <w:pStyle w:val="a3"/>
        <w:spacing w:after="0" w:line="240" w:lineRule="auto"/>
        <w:ind w:left="0"/>
        <w:jc w:val="both"/>
        <w:rPr>
          <w:rFonts w:ascii="Times New Roman" w:hAnsi="Times New Roman" w:cs="Times New Roman"/>
          <w:color w:val="000000" w:themeColor="text1"/>
          <w:sz w:val="28"/>
          <w:szCs w:val="28"/>
          <w:lang w:val="uk-UA" w:eastAsia="uk-UA"/>
        </w:rPr>
      </w:pPr>
    </w:p>
    <w:p w:rsidR="00A25646" w:rsidRDefault="00A25646" w:rsidP="00A25646">
      <w:pPr>
        <w:pStyle w:val="a3"/>
        <w:spacing w:after="0" w:line="240" w:lineRule="auto"/>
        <w:ind w:left="0"/>
        <w:jc w:val="both"/>
        <w:rPr>
          <w:rFonts w:ascii="Times New Roman" w:hAnsi="Times New Roman" w:cs="Times New Roman"/>
          <w:color w:val="000000" w:themeColor="text1"/>
          <w:sz w:val="28"/>
          <w:szCs w:val="28"/>
          <w:lang w:val="uk-UA" w:eastAsia="uk-UA"/>
        </w:rPr>
      </w:pPr>
      <w:r>
        <w:rPr>
          <w:noProof/>
          <w:lang w:eastAsia="ru-RU"/>
        </w:rPr>
        <w:drawing>
          <wp:inline distT="0" distB="0" distL="0" distR="0">
            <wp:extent cx="2800350" cy="1974850"/>
            <wp:effectExtent l="19050" t="0" r="0" b="0"/>
            <wp:docPr id="84"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Pr>
          <w:noProof/>
          <w:lang w:eastAsia="ru-RU"/>
        </w:rPr>
        <w:drawing>
          <wp:inline distT="0" distB="0" distL="0" distR="0">
            <wp:extent cx="2987929" cy="1938528"/>
            <wp:effectExtent l="19050" t="0" r="2921" b="0"/>
            <wp:docPr id="85" name="Диаграмма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A25646" w:rsidRDefault="00A25646" w:rsidP="00A25646">
      <w:pPr>
        <w:pStyle w:val="a3"/>
        <w:spacing w:after="0" w:line="240" w:lineRule="auto"/>
        <w:ind w:left="0" w:firstLine="708"/>
        <w:jc w:val="both"/>
        <w:rPr>
          <w:rFonts w:ascii="Times New Roman" w:hAnsi="Times New Roman" w:cs="Times New Roman"/>
          <w:color w:val="000000" w:themeColor="text1"/>
          <w:sz w:val="28"/>
          <w:szCs w:val="28"/>
          <w:lang w:val="uk-UA" w:eastAsia="uk-UA"/>
        </w:rPr>
      </w:pPr>
    </w:p>
    <w:p w:rsidR="009654DF" w:rsidRDefault="009654DF" w:rsidP="00A25646">
      <w:pPr>
        <w:pStyle w:val="a3"/>
        <w:spacing w:after="0" w:line="240" w:lineRule="auto"/>
        <w:ind w:left="0" w:firstLine="708"/>
        <w:jc w:val="both"/>
        <w:rPr>
          <w:rFonts w:ascii="Times New Roman" w:hAnsi="Times New Roman" w:cs="Times New Roman"/>
          <w:color w:val="000000" w:themeColor="text1"/>
          <w:sz w:val="28"/>
          <w:szCs w:val="28"/>
          <w:lang w:val="uk-UA" w:eastAsia="uk-UA"/>
        </w:rPr>
      </w:pPr>
    </w:p>
    <w:p w:rsidR="00A25646" w:rsidRDefault="00A25646" w:rsidP="009049E3">
      <w:pPr>
        <w:pStyle w:val="a3"/>
        <w:spacing w:after="0" w:line="240" w:lineRule="auto"/>
        <w:ind w:left="0"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Збирання та перевезення відходів здійснює чотири суб’єкти господарської діяльності.</w:t>
      </w:r>
    </w:p>
    <w:p w:rsidR="00A25646" w:rsidRPr="005A07B7" w:rsidRDefault="00A25646" w:rsidP="009049E3">
      <w:pPr>
        <w:pStyle w:val="a3"/>
        <w:spacing w:after="0" w:line="240" w:lineRule="auto"/>
        <w:ind w:left="0"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 xml:space="preserve">В місті функціонує комунальне підприємство «Центр захисту тварин», де стерилізовано та кастровано 1007 безпритульних тварин. Всього </w:t>
      </w:r>
      <w:r w:rsidR="005A07B7">
        <w:rPr>
          <w:rFonts w:ascii="Times New Roman" w:hAnsi="Times New Roman" w:cs="Times New Roman"/>
          <w:color w:val="000000" w:themeColor="text1"/>
          <w:sz w:val="28"/>
          <w:szCs w:val="28"/>
          <w:lang w:val="uk-UA" w:eastAsia="uk-UA"/>
        </w:rPr>
        <w:t xml:space="preserve">в місті </w:t>
      </w:r>
      <w:r>
        <w:rPr>
          <w:rFonts w:ascii="Times New Roman" w:hAnsi="Times New Roman" w:cs="Times New Roman"/>
          <w:color w:val="000000" w:themeColor="text1"/>
          <w:sz w:val="28"/>
          <w:szCs w:val="28"/>
          <w:lang w:val="uk-UA" w:eastAsia="uk-UA"/>
        </w:rPr>
        <w:t xml:space="preserve">налічується </w:t>
      </w:r>
      <w:r w:rsidR="00511EB7">
        <w:rPr>
          <w:rFonts w:ascii="Times New Roman" w:hAnsi="Times New Roman" w:cs="Times New Roman"/>
          <w:color w:val="000000" w:themeColor="text1"/>
          <w:sz w:val="28"/>
          <w:szCs w:val="28"/>
          <w:lang w:val="uk-UA" w:eastAsia="uk-UA"/>
        </w:rPr>
        <w:t xml:space="preserve">близько </w:t>
      </w:r>
      <w:r>
        <w:rPr>
          <w:rFonts w:ascii="Times New Roman" w:hAnsi="Times New Roman" w:cs="Times New Roman"/>
          <w:color w:val="000000" w:themeColor="text1"/>
          <w:sz w:val="28"/>
          <w:szCs w:val="28"/>
          <w:lang w:val="uk-UA" w:eastAsia="uk-UA"/>
        </w:rPr>
        <w:t>2500 безпритульних собак.</w:t>
      </w:r>
      <w:r w:rsidR="00333723">
        <w:rPr>
          <w:rFonts w:ascii="Times New Roman" w:hAnsi="Times New Roman" w:cs="Times New Roman"/>
          <w:color w:val="000000" w:themeColor="text1"/>
          <w:sz w:val="28"/>
          <w:szCs w:val="28"/>
          <w:lang w:val="uk-UA" w:eastAsia="uk-UA"/>
        </w:rPr>
        <w:t xml:space="preserve"> </w:t>
      </w:r>
      <w:r w:rsidR="004B700D">
        <w:rPr>
          <w:rFonts w:ascii="Times New Roman" w:hAnsi="Times New Roman" w:cs="Times New Roman"/>
          <w:color w:val="000000" w:themeColor="text1"/>
          <w:sz w:val="28"/>
          <w:szCs w:val="28"/>
          <w:lang w:val="uk-UA" w:eastAsia="uk-UA"/>
        </w:rPr>
        <w:t>В рамках реалізації проекту бюджету участі «Зменшення кількості безпритульних тварин» проведено чіпування 222 собак.</w:t>
      </w:r>
    </w:p>
    <w:p w:rsidR="00A25646" w:rsidRDefault="00A25646" w:rsidP="00A25646">
      <w:pPr>
        <w:pStyle w:val="a3"/>
        <w:spacing w:after="0" w:line="240" w:lineRule="auto"/>
        <w:ind w:left="0" w:firstLine="708"/>
        <w:jc w:val="both"/>
        <w:rPr>
          <w:rFonts w:ascii="Times New Roman" w:hAnsi="Times New Roman" w:cs="Times New Roman"/>
          <w:color w:val="000000" w:themeColor="text1"/>
          <w:sz w:val="28"/>
          <w:szCs w:val="28"/>
          <w:lang w:val="uk-UA" w:eastAsia="uk-UA"/>
        </w:rPr>
      </w:pPr>
    </w:p>
    <w:p w:rsidR="00A25646" w:rsidRDefault="00A25646" w:rsidP="00A25646">
      <w:pPr>
        <w:pStyle w:val="a3"/>
        <w:spacing w:after="0" w:line="240" w:lineRule="auto"/>
        <w:ind w:left="0"/>
        <w:jc w:val="center"/>
        <w:rPr>
          <w:rFonts w:ascii="Times New Roman" w:hAnsi="Times New Roman" w:cs="Times New Roman"/>
          <w:color w:val="000000" w:themeColor="text1"/>
          <w:sz w:val="28"/>
          <w:szCs w:val="28"/>
          <w:lang w:val="uk-UA" w:eastAsia="uk-UA"/>
        </w:rPr>
      </w:pPr>
      <w:r>
        <w:rPr>
          <w:noProof/>
          <w:lang w:eastAsia="ru-RU"/>
        </w:rPr>
        <w:lastRenderedPageBreak/>
        <w:drawing>
          <wp:inline distT="0" distB="0" distL="0" distR="0">
            <wp:extent cx="3514725" cy="2152650"/>
            <wp:effectExtent l="0" t="0" r="0" b="0"/>
            <wp:docPr id="86"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9A7E3E" w:rsidRDefault="009A7E3E" w:rsidP="00A25646">
      <w:pPr>
        <w:pStyle w:val="a3"/>
        <w:spacing w:after="0" w:line="240" w:lineRule="auto"/>
        <w:ind w:left="0"/>
        <w:jc w:val="center"/>
        <w:rPr>
          <w:rFonts w:ascii="Times New Roman" w:hAnsi="Times New Roman" w:cs="Times New Roman"/>
          <w:color w:val="000000" w:themeColor="text1"/>
          <w:sz w:val="28"/>
          <w:szCs w:val="28"/>
          <w:lang w:val="uk-UA" w:eastAsia="uk-UA"/>
        </w:rPr>
      </w:pPr>
    </w:p>
    <w:p w:rsidR="00A25646" w:rsidRDefault="00A25646" w:rsidP="009049E3">
      <w:pPr>
        <w:pStyle w:val="a3"/>
        <w:spacing w:after="0" w:line="240" w:lineRule="auto"/>
        <w:ind w:left="0"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Невирішеними залишаються наступні проблеми:</w:t>
      </w:r>
    </w:p>
    <w:p w:rsidR="00A25646" w:rsidRDefault="00A25646" w:rsidP="009049E3">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перевантаження потужностей та недостатнє технологічне оснащення полігону для захоронення твердих побутових відходів;</w:t>
      </w:r>
    </w:p>
    <w:p w:rsidR="00A25646" w:rsidRDefault="00A25646" w:rsidP="009049E3">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відсутність підприємств з переробки побутових відходів;</w:t>
      </w:r>
    </w:p>
    <w:p w:rsidR="00A25646" w:rsidRDefault="00A25646" w:rsidP="009049E3">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високий рівень зношеності спецтехніки для вивезення та захоронення відходів;</w:t>
      </w:r>
    </w:p>
    <w:p w:rsidR="00A25646" w:rsidRDefault="00A25646" w:rsidP="009049E3">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захаращення відходами та сміттям прибережних територій (смуг) річок та періодичне утворення несанкціонованих сміттєзвалищ на території міста;</w:t>
      </w:r>
    </w:p>
    <w:p w:rsidR="00A25646" w:rsidRDefault="00A25646" w:rsidP="009049E3">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неналежне облаштування сміттєзбірних майданчиків;</w:t>
      </w:r>
    </w:p>
    <w:p w:rsidR="00A25646" w:rsidRDefault="00A25646" w:rsidP="009049E3">
      <w:pPr>
        <w:pStyle w:val="a3"/>
        <w:numPr>
          <w:ilvl w:val="0"/>
          <w:numId w:val="11"/>
        </w:numPr>
        <w:spacing w:after="0" w:line="240" w:lineRule="auto"/>
        <w:ind w:left="1134" w:hanging="425"/>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наявність значної кількості безпритульних тварин у місті.</w:t>
      </w:r>
    </w:p>
    <w:p w:rsidR="008238D4" w:rsidRDefault="008238D4" w:rsidP="008238D4">
      <w:pPr>
        <w:pStyle w:val="a3"/>
        <w:spacing w:after="0" w:line="240" w:lineRule="auto"/>
        <w:ind w:left="1134"/>
        <w:jc w:val="both"/>
        <w:rPr>
          <w:rFonts w:ascii="Times New Roman" w:hAnsi="Times New Roman" w:cs="Times New Roman"/>
          <w:color w:val="000000" w:themeColor="text1"/>
          <w:sz w:val="28"/>
          <w:szCs w:val="28"/>
          <w:lang w:val="uk-UA" w:eastAsia="uk-UA"/>
        </w:rPr>
      </w:pPr>
    </w:p>
    <w:p w:rsidR="009A7E3E" w:rsidRDefault="009A7E3E" w:rsidP="008238D4">
      <w:pPr>
        <w:pStyle w:val="a3"/>
        <w:spacing w:after="0" w:line="240" w:lineRule="auto"/>
        <w:ind w:left="1134"/>
        <w:jc w:val="both"/>
        <w:rPr>
          <w:rFonts w:ascii="Times New Roman" w:hAnsi="Times New Roman" w:cs="Times New Roman"/>
          <w:color w:val="000000" w:themeColor="text1"/>
          <w:sz w:val="28"/>
          <w:szCs w:val="28"/>
          <w:lang w:val="uk-UA" w:eastAsia="uk-UA"/>
        </w:rPr>
      </w:pPr>
    </w:p>
    <w:p w:rsidR="00A25646" w:rsidRPr="008238D4" w:rsidRDefault="008238D4" w:rsidP="00A25646">
      <w:pPr>
        <w:spacing w:after="0" w:line="240" w:lineRule="auto"/>
        <w:jc w:val="both"/>
        <w:rPr>
          <w:rFonts w:ascii="Times New Roman" w:hAnsi="Times New Roman" w:cs="Times New Roman"/>
          <w:b/>
          <w:color w:val="000000" w:themeColor="text1"/>
          <w:sz w:val="28"/>
          <w:szCs w:val="28"/>
          <w:lang w:val="uk-UA" w:eastAsia="uk-UA"/>
        </w:rPr>
      </w:pPr>
      <w:r w:rsidRPr="008238D4">
        <w:rPr>
          <w:rFonts w:ascii="Times New Roman" w:hAnsi="Times New Roman" w:cs="Times New Roman"/>
          <w:b/>
          <w:color w:val="000000" w:themeColor="text1"/>
          <w:sz w:val="28"/>
          <w:szCs w:val="28"/>
          <w:lang w:val="uk-UA" w:eastAsia="uk-UA"/>
        </w:rPr>
        <w:t>Т</w:t>
      </w:r>
      <w:r w:rsidR="00A25646" w:rsidRPr="008238D4">
        <w:rPr>
          <w:rFonts w:ascii="Times New Roman" w:hAnsi="Times New Roman" w:cs="Times New Roman"/>
          <w:b/>
          <w:color w:val="000000" w:themeColor="text1"/>
          <w:sz w:val="28"/>
          <w:szCs w:val="28"/>
          <w:lang w:val="uk-UA" w:eastAsia="uk-UA"/>
        </w:rPr>
        <w:t>ранспортна інфраструктура</w:t>
      </w:r>
    </w:p>
    <w:p w:rsidR="00A25646" w:rsidRDefault="00A25646" w:rsidP="009049E3">
      <w:pPr>
        <w:tabs>
          <w:tab w:val="left" w:pos="567"/>
        </w:tabs>
        <w:spacing w:after="0" w:line="240" w:lineRule="auto"/>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ab/>
        <w:t>У місті функціонує розвинена мережа міського пасажирського транспорту.</w:t>
      </w:r>
    </w:p>
    <w:p w:rsidR="00A25646" w:rsidRDefault="00A25646" w:rsidP="00A25646">
      <w:pPr>
        <w:spacing w:after="0" w:line="240" w:lineRule="auto"/>
        <w:jc w:val="center"/>
        <w:rPr>
          <w:rFonts w:ascii="Times New Roman" w:hAnsi="Times New Roman" w:cs="Times New Roman"/>
          <w:color w:val="000000" w:themeColor="text1"/>
          <w:sz w:val="28"/>
          <w:szCs w:val="28"/>
          <w:lang w:val="uk-UA" w:eastAsia="uk-UA"/>
        </w:rPr>
      </w:pPr>
      <w:r>
        <w:rPr>
          <w:noProof/>
          <w:lang w:eastAsia="ru-RU"/>
        </w:rPr>
        <w:drawing>
          <wp:inline distT="0" distB="0" distL="0" distR="0">
            <wp:extent cx="3790950" cy="2000250"/>
            <wp:effectExtent l="0" t="0" r="0" b="0"/>
            <wp:docPr id="87" name="Диаграмма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A25646" w:rsidRDefault="00A25646" w:rsidP="00A25646">
      <w:pPr>
        <w:spacing w:after="0" w:line="240" w:lineRule="auto"/>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ab/>
      </w:r>
    </w:p>
    <w:p w:rsidR="00A25646" w:rsidRDefault="00A25646" w:rsidP="009049E3">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Перевезення пасажирів здійснюється тролейбусами (92 одиниці), трамваями (12 одиниць) та автомобільним транспортом (180 автобусів).</w:t>
      </w:r>
    </w:p>
    <w:p w:rsidR="00A25646" w:rsidRDefault="00A25646" w:rsidP="00A25646">
      <w:pPr>
        <w:spacing w:after="0" w:line="240" w:lineRule="auto"/>
        <w:ind w:firstLine="708"/>
        <w:jc w:val="both"/>
        <w:rPr>
          <w:rFonts w:ascii="Times New Roman" w:hAnsi="Times New Roman" w:cs="Times New Roman"/>
          <w:color w:val="000000" w:themeColor="text1"/>
          <w:sz w:val="28"/>
          <w:szCs w:val="28"/>
          <w:lang w:val="uk-UA" w:eastAsia="uk-UA"/>
        </w:rPr>
      </w:pPr>
    </w:p>
    <w:p w:rsidR="00A25646" w:rsidRDefault="00A25646" w:rsidP="00885BE9">
      <w:pPr>
        <w:spacing w:after="0" w:line="240" w:lineRule="auto"/>
        <w:ind w:hanging="567"/>
        <w:jc w:val="both"/>
        <w:rPr>
          <w:rFonts w:ascii="Times New Roman" w:hAnsi="Times New Roman" w:cs="Times New Roman"/>
          <w:color w:val="000000" w:themeColor="text1"/>
          <w:sz w:val="28"/>
          <w:szCs w:val="28"/>
          <w:lang w:val="uk-UA" w:eastAsia="uk-UA"/>
        </w:rPr>
      </w:pPr>
      <w:r>
        <w:rPr>
          <w:noProof/>
          <w:lang w:eastAsia="ru-RU"/>
        </w:rPr>
        <w:lastRenderedPageBreak/>
        <w:drawing>
          <wp:inline distT="0" distB="0" distL="0" distR="0">
            <wp:extent cx="3187700" cy="1752600"/>
            <wp:effectExtent l="0" t="0" r="0" b="0"/>
            <wp:docPr id="88"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r>
        <w:rPr>
          <w:rFonts w:ascii="Times New Roman" w:hAnsi="Times New Roman" w:cs="Times New Roman"/>
          <w:color w:val="000000" w:themeColor="text1"/>
          <w:sz w:val="28"/>
          <w:szCs w:val="28"/>
          <w:lang w:val="uk-UA" w:eastAsia="uk-UA"/>
        </w:rPr>
        <w:t xml:space="preserve"> </w:t>
      </w:r>
      <w:r>
        <w:rPr>
          <w:noProof/>
          <w:lang w:eastAsia="ru-RU"/>
        </w:rPr>
        <w:drawing>
          <wp:inline distT="0" distB="0" distL="0" distR="0">
            <wp:extent cx="2686050" cy="1752600"/>
            <wp:effectExtent l="0" t="0" r="0" b="0"/>
            <wp:docPr id="89"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A25646" w:rsidRDefault="00A25646" w:rsidP="00A25646">
      <w:pPr>
        <w:spacing w:after="0" w:line="240" w:lineRule="auto"/>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ab/>
      </w:r>
    </w:p>
    <w:p w:rsidR="00A25646" w:rsidRDefault="00A25646" w:rsidP="009049E3">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Середній вік тролейбусів становить 24 роки, трамваїв – 32 роки, маршруток – 6 років.</w:t>
      </w:r>
    </w:p>
    <w:p w:rsidR="00A25646" w:rsidRDefault="00A25646" w:rsidP="00A25646">
      <w:pPr>
        <w:spacing w:after="0" w:line="240" w:lineRule="auto"/>
        <w:ind w:firstLine="708"/>
        <w:jc w:val="both"/>
        <w:rPr>
          <w:rFonts w:ascii="Times New Roman" w:hAnsi="Times New Roman" w:cs="Times New Roman"/>
          <w:color w:val="000000" w:themeColor="text1"/>
          <w:sz w:val="28"/>
          <w:szCs w:val="28"/>
          <w:lang w:val="uk-UA" w:eastAsia="uk-UA"/>
        </w:rPr>
      </w:pPr>
    </w:p>
    <w:p w:rsidR="00A25646" w:rsidRDefault="00A25646" w:rsidP="00A25646">
      <w:pPr>
        <w:spacing w:after="0" w:line="240" w:lineRule="auto"/>
        <w:jc w:val="center"/>
        <w:rPr>
          <w:rFonts w:ascii="Times New Roman" w:hAnsi="Times New Roman" w:cs="Times New Roman"/>
          <w:color w:val="000000" w:themeColor="text1"/>
          <w:sz w:val="28"/>
          <w:szCs w:val="28"/>
          <w:lang w:val="uk-UA" w:eastAsia="uk-UA"/>
        </w:rPr>
      </w:pPr>
      <w:r>
        <w:rPr>
          <w:noProof/>
          <w:lang w:eastAsia="ru-RU"/>
        </w:rPr>
        <w:drawing>
          <wp:inline distT="0" distB="0" distL="0" distR="0">
            <wp:extent cx="3800475" cy="2047875"/>
            <wp:effectExtent l="0" t="0" r="0" b="0"/>
            <wp:docPr id="90" name="Диаграмма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A25646" w:rsidRDefault="00A25646" w:rsidP="00A25646">
      <w:pPr>
        <w:spacing w:after="0" w:line="240" w:lineRule="auto"/>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ab/>
      </w:r>
    </w:p>
    <w:p w:rsidR="00A25646" w:rsidRDefault="00A25646" w:rsidP="009049E3">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З початку року пасажирським транспортом перевезено 54,4 млн. осіб, це на 5,8% більше, ніж у січні-серпні 2016 року. Послугами електротранспорту скористались 33,2 млн. осіб, або 60,9% пасажирів. Тролейбусами перевезено 28,1 млн. осіб (51,6%), трамваями - 5,1 млн. осіб (9,3%). Порівняно з відповідним періодом минулого року обсяги перевезень тролейбусами зросли на 20,3%, трамваями – на 1,4%.</w:t>
      </w:r>
    </w:p>
    <w:p w:rsidR="00A25646" w:rsidRDefault="00A25646" w:rsidP="009049E3">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Автомобільним транспортом перевезено 21,3 млн. осіб, що на 8,0% менше, ніж у січні-серпні 2016 року.</w:t>
      </w:r>
    </w:p>
    <w:p w:rsidR="00A25646" w:rsidRDefault="00A25646" w:rsidP="00A25646">
      <w:pPr>
        <w:spacing w:after="0" w:line="240" w:lineRule="auto"/>
        <w:jc w:val="both"/>
        <w:rPr>
          <w:rFonts w:ascii="Times New Roman" w:hAnsi="Times New Roman" w:cs="Times New Roman"/>
          <w:color w:val="000000" w:themeColor="text1"/>
          <w:sz w:val="28"/>
          <w:szCs w:val="28"/>
          <w:lang w:val="uk-UA" w:eastAsia="uk-UA"/>
        </w:rPr>
      </w:pPr>
    </w:p>
    <w:p w:rsidR="00A25646" w:rsidRDefault="00A25646" w:rsidP="00A25646">
      <w:pPr>
        <w:spacing w:after="0" w:line="240" w:lineRule="auto"/>
        <w:jc w:val="center"/>
        <w:rPr>
          <w:rFonts w:ascii="Times New Roman" w:hAnsi="Times New Roman" w:cs="Times New Roman"/>
          <w:color w:val="000000" w:themeColor="text1"/>
          <w:sz w:val="28"/>
          <w:szCs w:val="28"/>
          <w:lang w:val="uk-UA" w:eastAsia="uk-UA"/>
        </w:rPr>
      </w:pPr>
      <w:r>
        <w:rPr>
          <w:noProof/>
          <w:lang w:eastAsia="ru-RU"/>
        </w:rPr>
        <w:lastRenderedPageBreak/>
        <w:drawing>
          <wp:inline distT="0" distB="0" distL="0" distR="0">
            <wp:extent cx="4181475" cy="2800350"/>
            <wp:effectExtent l="0" t="0" r="0" b="0"/>
            <wp:docPr id="91"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A25646" w:rsidRDefault="00A25646" w:rsidP="00A25646">
      <w:pPr>
        <w:spacing w:after="0" w:line="240" w:lineRule="auto"/>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ab/>
      </w:r>
    </w:p>
    <w:p w:rsidR="00A25646" w:rsidRDefault="00A25646" w:rsidP="00631D39">
      <w:pPr>
        <w:spacing w:after="0" w:line="240" w:lineRule="auto"/>
        <w:ind w:firstLine="567"/>
        <w:jc w:val="both"/>
        <w:rPr>
          <w:rFonts w:ascii="Times New Roman" w:hAnsi="Times New Roman" w:cs="Times New Roman"/>
          <w:color w:val="000000" w:themeColor="text1"/>
          <w:sz w:val="28"/>
          <w:szCs w:val="28"/>
          <w:lang w:val="uk-UA" w:eastAsia="uk-UA"/>
        </w:rPr>
      </w:pPr>
      <w:r>
        <w:rPr>
          <w:rFonts w:ascii="Times New Roman" w:hAnsi="Times New Roman" w:cs="Times New Roman"/>
          <w:color w:val="000000" w:themeColor="text1"/>
          <w:sz w:val="28"/>
          <w:szCs w:val="28"/>
          <w:lang w:val="uk-UA" w:eastAsia="uk-UA"/>
        </w:rPr>
        <w:t>Причиною збільшення обсягів перевезень електротранспортом та зменшення обсягів перевезень автомобільним транспортом є підвищення вартості проїзду пасажирів в маршрутах до 5,0 грн. з 1 червня 2017 року.</w:t>
      </w:r>
    </w:p>
    <w:p w:rsidR="00A25646" w:rsidRPr="00CB658B" w:rsidRDefault="00A25646" w:rsidP="00965117">
      <w:pPr>
        <w:tabs>
          <w:tab w:val="left" w:pos="567"/>
        </w:tabs>
        <w:spacing w:after="0" w:line="240" w:lineRule="auto"/>
        <w:jc w:val="both"/>
        <w:rPr>
          <w:rFonts w:ascii="Times New Roman" w:hAnsi="Times New Roman" w:cs="Times New Roman"/>
          <w:color w:val="FF0000"/>
          <w:sz w:val="28"/>
          <w:szCs w:val="28"/>
          <w:lang w:val="uk-UA" w:eastAsia="uk-UA"/>
        </w:rPr>
      </w:pPr>
      <w:r>
        <w:rPr>
          <w:rFonts w:ascii="Times New Roman" w:hAnsi="Times New Roman" w:cs="Times New Roman"/>
          <w:color w:val="000000" w:themeColor="text1"/>
          <w:sz w:val="28"/>
          <w:szCs w:val="28"/>
          <w:lang w:val="uk-UA" w:eastAsia="uk-UA"/>
        </w:rPr>
        <w:tab/>
      </w:r>
      <w:r w:rsidRPr="000016DD">
        <w:rPr>
          <w:rFonts w:ascii="Times New Roman" w:hAnsi="Times New Roman" w:cs="Times New Roman"/>
          <w:color w:val="000000" w:themeColor="text1"/>
          <w:sz w:val="28"/>
          <w:szCs w:val="28"/>
          <w:lang w:val="uk-UA" w:eastAsia="uk-UA"/>
        </w:rPr>
        <w:t xml:space="preserve">Невирішеними залишаються наступні проблеми: </w:t>
      </w:r>
    </w:p>
    <w:p w:rsidR="00A25646" w:rsidRPr="008B2AF8" w:rsidRDefault="00A25646" w:rsidP="00631D39">
      <w:pPr>
        <w:numPr>
          <w:ilvl w:val="0"/>
          <w:numId w:val="13"/>
        </w:numPr>
        <w:spacing w:after="0" w:line="240" w:lineRule="auto"/>
        <w:ind w:left="1134" w:hanging="414"/>
        <w:jc w:val="both"/>
        <w:rPr>
          <w:rFonts w:ascii="Times New Roman" w:eastAsia="Times New Roman" w:hAnsi="Times New Roman" w:cs="Times New Roman"/>
          <w:color w:val="000000" w:themeColor="text1"/>
          <w:sz w:val="28"/>
          <w:szCs w:val="28"/>
          <w:lang w:val="uk-UA"/>
        </w:rPr>
      </w:pPr>
      <w:r w:rsidRPr="008B2AF8">
        <w:rPr>
          <w:rFonts w:ascii="Times New Roman" w:eastAsia="Times New Roman" w:hAnsi="Times New Roman" w:cs="Times New Roman"/>
          <w:color w:val="000000" w:themeColor="text1"/>
          <w:sz w:val="28"/>
          <w:szCs w:val="28"/>
          <w:lang w:val="uk-UA"/>
        </w:rPr>
        <w:t>значна зношеність рухомого складу</w:t>
      </w:r>
      <w:r>
        <w:rPr>
          <w:rFonts w:ascii="Times New Roman" w:eastAsia="Times New Roman" w:hAnsi="Times New Roman" w:cs="Times New Roman"/>
          <w:color w:val="000000" w:themeColor="text1"/>
          <w:sz w:val="28"/>
          <w:szCs w:val="28"/>
          <w:lang w:val="uk-UA"/>
        </w:rPr>
        <w:t xml:space="preserve"> (94,0%)</w:t>
      </w:r>
      <w:r w:rsidRPr="008B2AF8">
        <w:rPr>
          <w:rFonts w:ascii="Times New Roman" w:eastAsia="Times New Roman" w:hAnsi="Times New Roman" w:cs="Times New Roman"/>
          <w:color w:val="000000" w:themeColor="text1"/>
          <w:sz w:val="28"/>
          <w:szCs w:val="28"/>
          <w:lang w:val="uk-UA"/>
        </w:rPr>
        <w:t xml:space="preserve"> та основних засобів комунального підприємства «Житомирське трамвайно-тролейбусне управління» Житомирської міської ради;</w:t>
      </w:r>
    </w:p>
    <w:p w:rsidR="00A25646" w:rsidRPr="008B2AF8" w:rsidRDefault="00A25646" w:rsidP="00631D39">
      <w:pPr>
        <w:numPr>
          <w:ilvl w:val="0"/>
          <w:numId w:val="13"/>
        </w:numPr>
        <w:spacing w:after="0" w:line="240" w:lineRule="auto"/>
        <w:ind w:left="1134" w:hanging="414"/>
        <w:jc w:val="both"/>
        <w:rPr>
          <w:rFonts w:ascii="Times New Roman" w:eastAsia="Times New Roman" w:hAnsi="Times New Roman" w:cs="Times New Roman"/>
          <w:color w:val="000000" w:themeColor="text1"/>
          <w:sz w:val="28"/>
          <w:szCs w:val="28"/>
          <w:lang w:val="uk-UA"/>
        </w:rPr>
      </w:pPr>
      <w:r w:rsidRPr="008B2AF8">
        <w:rPr>
          <w:rFonts w:ascii="Times New Roman" w:eastAsia="Times New Roman" w:hAnsi="Times New Roman" w:cs="Times New Roman"/>
          <w:color w:val="000000" w:themeColor="text1"/>
          <w:sz w:val="28"/>
          <w:szCs w:val="28"/>
          <w:lang w:val="uk-UA"/>
        </w:rPr>
        <w:t>недостатнє охоплення електротранспортом окремих районів міста;</w:t>
      </w:r>
    </w:p>
    <w:p w:rsidR="00A25646" w:rsidRPr="008B2AF8" w:rsidRDefault="00A25646" w:rsidP="00631D39">
      <w:pPr>
        <w:numPr>
          <w:ilvl w:val="0"/>
          <w:numId w:val="13"/>
        </w:numPr>
        <w:spacing w:after="0" w:line="240" w:lineRule="auto"/>
        <w:ind w:left="1134" w:hanging="414"/>
        <w:jc w:val="both"/>
        <w:rPr>
          <w:rFonts w:ascii="Times New Roman" w:eastAsia="Times New Roman" w:hAnsi="Times New Roman" w:cs="Times New Roman"/>
          <w:color w:val="000000" w:themeColor="text1"/>
          <w:sz w:val="28"/>
          <w:szCs w:val="28"/>
          <w:lang w:val="uk-UA"/>
        </w:rPr>
      </w:pPr>
      <w:r w:rsidRPr="008B2AF8">
        <w:rPr>
          <w:rFonts w:ascii="Times New Roman" w:eastAsia="Times New Roman" w:hAnsi="Times New Roman" w:cs="Times New Roman"/>
          <w:color w:val="000000" w:themeColor="text1"/>
          <w:sz w:val="28"/>
          <w:szCs w:val="28"/>
          <w:lang w:val="uk-UA"/>
        </w:rPr>
        <w:t>дублювання приміськими автобусними маршрутами маршрутів міського електротранспорту;</w:t>
      </w:r>
    </w:p>
    <w:p w:rsidR="00A25646" w:rsidRDefault="00A25646" w:rsidP="00631D39">
      <w:pPr>
        <w:numPr>
          <w:ilvl w:val="0"/>
          <w:numId w:val="13"/>
        </w:numPr>
        <w:spacing w:after="0" w:line="240" w:lineRule="auto"/>
        <w:ind w:left="1134" w:hanging="414"/>
        <w:jc w:val="both"/>
        <w:rPr>
          <w:rFonts w:ascii="Times New Roman" w:eastAsia="Times New Roman" w:hAnsi="Times New Roman" w:cs="Times New Roman"/>
          <w:color w:val="000000" w:themeColor="text1"/>
          <w:sz w:val="28"/>
          <w:szCs w:val="28"/>
          <w:lang w:val="uk-UA"/>
        </w:rPr>
      </w:pPr>
      <w:r w:rsidRPr="008B2AF8">
        <w:rPr>
          <w:rFonts w:ascii="Times New Roman" w:eastAsia="Times New Roman" w:hAnsi="Times New Roman" w:cs="Times New Roman"/>
          <w:color w:val="000000" w:themeColor="text1"/>
          <w:sz w:val="28"/>
          <w:szCs w:val="28"/>
          <w:lang w:val="uk-UA"/>
        </w:rPr>
        <w:t>відсутність спеціалізованого комунального підприємства з організації дорожнього руху;</w:t>
      </w:r>
    </w:p>
    <w:p w:rsidR="00A25646" w:rsidRPr="008B2AF8" w:rsidRDefault="00A25646" w:rsidP="00631D39">
      <w:pPr>
        <w:numPr>
          <w:ilvl w:val="0"/>
          <w:numId w:val="13"/>
        </w:numPr>
        <w:spacing w:after="0" w:line="240" w:lineRule="auto"/>
        <w:ind w:left="1134" w:hanging="414"/>
        <w:jc w:val="both"/>
        <w:rPr>
          <w:rFonts w:ascii="Times New Roman" w:eastAsia="Times New Roman" w:hAnsi="Times New Roman" w:cs="Times New Roman"/>
          <w:color w:val="000000" w:themeColor="text1"/>
          <w:sz w:val="28"/>
          <w:szCs w:val="28"/>
          <w:lang w:val="uk-UA"/>
        </w:rPr>
      </w:pPr>
      <w:r>
        <w:rPr>
          <w:rFonts w:ascii="Times New Roman" w:eastAsia="Times New Roman" w:hAnsi="Times New Roman" w:cs="Times New Roman"/>
          <w:color w:val="000000" w:themeColor="text1"/>
          <w:sz w:val="28"/>
          <w:szCs w:val="28"/>
          <w:lang w:val="uk-UA"/>
        </w:rPr>
        <w:t>наявність світлофорів, дорожніх знаків та пішохідних огороджень, що не відповідають вимогам ДСТУ;</w:t>
      </w:r>
    </w:p>
    <w:p w:rsidR="00A25646" w:rsidRPr="008B2AF8" w:rsidRDefault="00A25646" w:rsidP="00631D39">
      <w:pPr>
        <w:numPr>
          <w:ilvl w:val="0"/>
          <w:numId w:val="13"/>
        </w:numPr>
        <w:spacing w:after="0" w:line="240" w:lineRule="auto"/>
        <w:ind w:left="1134" w:hanging="414"/>
        <w:jc w:val="both"/>
        <w:rPr>
          <w:rFonts w:ascii="Times New Roman" w:eastAsia="Times New Roman" w:hAnsi="Times New Roman" w:cs="Times New Roman"/>
          <w:color w:val="000000" w:themeColor="text1"/>
          <w:sz w:val="28"/>
          <w:szCs w:val="28"/>
          <w:lang w:val="uk-UA"/>
        </w:rPr>
      </w:pPr>
      <w:r w:rsidRPr="008B2AF8">
        <w:rPr>
          <w:rFonts w:ascii="Times New Roman" w:eastAsia="Times New Roman" w:hAnsi="Times New Roman" w:cs="Times New Roman"/>
          <w:color w:val="000000" w:themeColor="text1"/>
          <w:sz w:val="28"/>
          <w:szCs w:val="28"/>
          <w:lang w:val="uk-UA"/>
        </w:rPr>
        <w:t>відсутність організації та обслуговування місць для паркування транспортних засобів у місті.</w:t>
      </w:r>
    </w:p>
    <w:p w:rsidR="00A25646" w:rsidRDefault="00A25646" w:rsidP="00C10CC4">
      <w:pPr>
        <w:tabs>
          <w:tab w:val="left" w:pos="0"/>
        </w:tabs>
        <w:spacing w:after="0" w:line="240" w:lineRule="auto"/>
        <w:jc w:val="both"/>
        <w:rPr>
          <w:rFonts w:ascii="Times New Roman" w:hAnsi="Times New Roman" w:cs="Times New Roman"/>
          <w:color w:val="000000" w:themeColor="text1"/>
          <w:sz w:val="28"/>
          <w:szCs w:val="28"/>
          <w:lang w:val="uk-UA"/>
        </w:rPr>
      </w:pPr>
    </w:p>
    <w:p w:rsidR="00C10CC4" w:rsidRPr="00C10CC4" w:rsidRDefault="00C10CC4" w:rsidP="00C10CC4">
      <w:pPr>
        <w:tabs>
          <w:tab w:val="left" w:pos="0"/>
        </w:tabs>
        <w:spacing w:after="0" w:line="240" w:lineRule="auto"/>
        <w:jc w:val="both"/>
        <w:rPr>
          <w:rFonts w:ascii="Times New Roman" w:hAnsi="Times New Roman" w:cs="Times New Roman"/>
          <w:b/>
          <w:color w:val="000000" w:themeColor="text1"/>
          <w:sz w:val="28"/>
          <w:szCs w:val="28"/>
          <w:lang w:val="uk-UA"/>
        </w:rPr>
      </w:pPr>
      <w:r w:rsidRPr="00C10CC4">
        <w:rPr>
          <w:rFonts w:ascii="Times New Roman" w:hAnsi="Times New Roman" w:cs="Times New Roman"/>
          <w:b/>
          <w:color w:val="000000" w:themeColor="text1"/>
          <w:sz w:val="28"/>
          <w:szCs w:val="28"/>
          <w:lang w:val="uk-UA"/>
        </w:rPr>
        <w:t>Реалізація політики сталого енергетичного розвитку</w:t>
      </w:r>
    </w:p>
    <w:p w:rsidR="00CA1191" w:rsidRPr="00CA1191" w:rsidRDefault="00CA1191" w:rsidP="00CA1191">
      <w:pPr>
        <w:spacing w:after="0" w:line="240" w:lineRule="auto"/>
        <w:ind w:firstLine="720"/>
        <w:jc w:val="both"/>
        <w:rPr>
          <w:rFonts w:ascii="Times New Roman" w:hAnsi="Times New Roman" w:cs="Times New Roman"/>
          <w:sz w:val="28"/>
          <w:szCs w:val="28"/>
          <w:lang w:val="uk-UA"/>
        </w:rPr>
      </w:pPr>
      <w:r w:rsidRPr="00CA1191">
        <w:rPr>
          <w:rFonts w:ascii="Times New Roman" w:hAnsi="Times New Roman" w:cs="Times New Roman"/>
          <w:sz w:val="28"/>
          <w:szCs w:val="28"/>
          <w:lang w:val="uk-UA"/>
        </w:rPr>
        <w:t>Місто Житомир продовжує впроваджувати заходи, що спрямовані на виконання добровільних зобов’язань, взятих містом у 2012 році в рамках європейської ініціативи Угода мерів.</w:t>
      </w:r>
    </w:p>
    <w:p w:rsidR="00CA1191" w:rsidRPr="00CA1191" w:rsidRDefault="00CA1191" w:rsidP="00CA1191">
      <w:pPr>
        <w:spacing w:after="0" w:line="240" w:lineRule="auto"/>
        <w:ind w:firstLine="720"/>
        <w:jc w:val="both"/>
        <w:rPr>
          <w:rFonts w:ascii="Times New Roman" w:hAnsi="Times New Roman" w:cs="Times New Roman"/>
          <w:sz w:val="28"/>
          <w:szCs w:val="28"/>
          <w:lang w:val="uk-UA"/>
        </w:rPr>
      </w:pPr>
      <w:r w:rsidRPr="00CA1191">
        <w:rPr>
          <w:rFonts w:ascii="Times New Roman" w:hAnsi="Times New Roman" w:cs="Times New Roman"/>
          <w:sz w:val="28"/>
          <w:szCs w:val="28"/>
          <w:lang w:val="uk-UA"/>
        </w:rPr>
        <w:t>Прийняттям рішення міської ради «Про затвердження міської цільової програми «Муніципальний енергетичний план міста Житомира на період 2017-2020 років» №530 від 16 лютого 2017 року місто Житомир вийшло далеко за межі добровільного зобов’язання по скороченню викидів СО</w:t>
      </w:r>
      <w:r w:rsidRPr="00CA1191">
        <w:rPr>
          <w:rFonts w:ascii="Times New Roman" w:hAnsi="Times New Roman" w:cs="Times New Roman"/>
          <w:sz w:val="28"/>
          <w:szCs w:val="28"/>
          <w:vertAlign w:val="subscript"/>
          <w:lang w:val="uk-UA"/>
        </w:rPr>
        <w:t>2</w:t>
      </w:r>
      <w:r w:rsidRPr="00CA1191">
        <w:rPr>
          <w:rFonts w:ascii="Times New Roman" w:hAnsi="Times New Roman" w:cs="Times New Roman"/>
          <w:sz w:val="28"/>
          <w:szCs w:val="28"/>
          <w:lang w:val="uk-UA"/>
        </w:rPr>
        <w:t xml:space="preserve"> до 2020 року, визначивши стратегію свого розвитку як еко-міста із кліматично збалансованою інфраструктурою.</w:t>
      </w:r>
    </w:p>
    <w:p w:rsidR="00CA1191" w:rsidRPr="00CA1191" w:rsidRDefault="00CA1191" w:rsidP="00CA1191">
      <w:pPr>
        <w:spacing w:after="0" w:line="240" w:lineRule="auto"/>
        <w:ind w:firstLine="720"/>
        <w:jc w:val="both"/>
        <w:rPr>
          <w:rFonts w:ascii="Times New Roman" w:hAnsi="Times New Roman" w:cs="Times New Roman"/>
          <w:sz w:val="28"/>
          <w:lang w:val="uk-UA"/>
        </w:rPr>
      </w:pPr>
      <w:r w:rsidRPr="00CA1191">
        <w:rPr>
          <w:rFonts w:ascii="Times New Roman" w:hAnsi="Times New Roman" w:cs="Times New Roman"/>
          <w:sz w:val="28"/>
          <w:szCs w:val="28"/>
          <w:lang w:val="uk-UA"/>
        </w:rPr>
        <w:t xml:space="preserve">У 2017 році за результатами завершення проекту </w:t>
      </w:r>
      <w:bookmarkStart w:id="1" w:name="OLE_LINK13"/>
      <w:bookmarkStart w:id="2" w:name="OLE_LINK14"/>
      <w:r w:rsidRPr="00CA1191">
        <w:rPr>
          <w:rFonts w:ascii="Times New Roman" w:hAnsi="Times New Roman" w:cs="Times New Roman"/>
          <w:sz w:val="28"/>
          <w:szCs w:val="28"/>
          <w:lang w:val="uk-UA"/>
        </w:rPr>
        <w:t xml:space="preserve">«Енергоефективність у громадах», що </w:t>
      </w:r>
      <w:r w:rsidRPr="00CA1191">
        <w:rPr>
          <w:rFonts w:ascii="Times New Roman" w:hAnsi="Times New Roman" w:cs="Times New Roman"/>
          <w:sz w:val="28"/>
          <w:lang w:val="uk-UA"/>
        </w:rPr>
        <w:t xml:space="preserve">впроваджувався Німецьким </w:t>
      </w:r>
      <w:r w:rsidRPr="00CA1191">
        <w:rPr>
          <w:rFonts w:ascii="Times New Roman" w:hAnsi="Times New Roman" w:cs="Times New Roman"/>
          <w:sz w:val="28"/>
          <w:lang w:val="uk-UA"/>
        </w:rPr>
        <w:lastRenderedPageBreak/>
        <w:t>товариством міжнародного співробітництва GIZ</w:t>
      </w:r>
      <w:bookmarkEnd w:id="1"/>
      <w:bookmarkEnd w:id="2"/>
      <w:r w:rsidRPr="00CA1191">
        <w:rPr>
          <w:rFonts w:ascii="Times New Roman" w:hAnsi="Times New Roman" w:cs="Times New Roman"/>
          <w:sz w:val="28"/>
          <w:lang w:val="uk-UA"/>
        </w:rPr>
        <w:t xml:space="preserve"> (упродовж 2014-2017 рок</w:t>
      </w:r>
      <w:r w:rsidRPr="00CA1191">
        <w:rPr>
          <w:rFonts w:ascii="Times New Roman" w:hAnsi="Times New Roman" w:cs="Times New Roman"/>
          <w:sz w:val="28"/>
          <w:lang w:val="en-US"/>
        </w:rPr>
        <w:t>i</w:t>
      </w:r>
      <w:r w:rsidRPr="00CA1191">
        <w:rPr>
          <w:rFonts w:ascii="Times New Roman" w:hAnsi="Times New Roman" w:cs="Times New Roman"/>
          <w:sz w:val="28"/>
          <w:lang w:val="uk-UA"/>
        </w:rPr>
        <w:t xml:space="preserve">в) місто Житомир </w:t>
      </w:r>
      <w:r w:rsidRPr="00CA1191">
        <w:rPr>
          <w:rFonts w:ascii="Times New Roman" w:hAnsi="Times New Roman" w:cs="Times New Roman"/>
          <w:sz w:val="28"/>
          <w:szCs w:val="28"/>
          <w:lang w:val="uk-UA"/>
        </w:rPr>
        <w:t>отримало відзнаку «</w:t>
      </w:r>
      <w:bookmarkStart w:id="3" w:name="OLE_LINK18"/>
      <w:r w:rsidRPr="00CA1191">
        <w:rPr>
          <w:rFonts w:ascii="Times New Roman" w:hAnsi="Times New Roman" w:cs="Times New Roman"/>
          <w:sz w:val="28"/>
          <w:szCs w:val="28"/>
          <w:lang w:val="en-US"/>
        </w:rPr>
        <w:t>Energy</w:t>
      </w:r>
      <w:r w:rsidRPr="00CA1191">
        <w:rPr>
          <w:rFonts w:ascii="Times New Roman" w:hAnsi="Times New Roman" w:cs="Times New Roman"/>
          <w:sz w:val="28"/>
          <w:szCs w:val="28"/>
          <w:lang w:val="uk-UA"/>
        </w:rPr>
        <w:t xml:space="preserve"> </w:t>
      </w:r>
      <w:r w:rsidRPr="00CA1191">
        <w:rPr>
          <w:rFonts w:ascii="Times New Roman" w:hAnsi="Times New Roman" w:cs="Times New Roman"/>
          <w:sz w:val="28"/>
          <w:szCs w:val="28"/>
          <w:lang w:val="en-US"/>
        </w:rPr>
        <w:t>Expert</w:t>
      </w:r>
      <w:bookmarkEnd w:id="3"/>
      <w:r w:rsidRPr="00CA1191">
        <w:rPr>
          <w:rFonts w:ascii="Times New Roman" w:hAnsi="Times New Roman" w:cs="Times New Roman"/>
          <w:sz w:val="28"/>
          <w:szCs w:val="28"/>
          <w:lang w:val="uk-UA"/>
        </w:rPr>
        <w:t>» за досягнення в сфері реалізації місцевої енергетичної політики та розвиток муніципальної системи енергетичного менеджменту.</w:t>
      </w:r>
    </w:p>
    <w:p w:rsidR="00CA1191" w:rsidRPr="00CA1191" w:rsidRDefault="00765B8D" w:rsidP="00CA1191">
      <w:pPr>
        <w:spacing w:after="0" w:line="240" w:lineRule="auto"/>
        <w:ind w:firstLine="720"/>
        <w:jc w:val="both"/>
        <w:rPr>
          <w:rFonts w:ascii="Times New Roman" w:hAnsi="Times New Roman" w:cs="Times New Roman"/>
          <w:sz w:val="28"/>
          <w:szCs w:val="28"/>
          <w:lang w:val="uk-UA"/>
        </w:rPr>
      </w:pPr>
      <w:r>
        <w:rPr>
          <w:rFonts w:ascii="Times New Roman" w:hAnsi="Times New Roman" w:cs="Times New Roman"/>
          <w:sz w:val="28"/>
          <w:szCs w:val="28"/>
          <w:lang w:val="uk-UA"/>
        </w:rPr>
        <w:t>Упродовж 2017 року д</w:t>
      </w:r>
      <w:r w:rsidR="00CA1191" w:rsidRPr="00CA1191">
        <w:rPr>
          <w:rFonts w:ascii="Times New Roman" w:hAnsi="Times New Roman" w:cs="Times New Roman"/>
          <w:sz w:val="28"/>
          <w:szCs w:val="28"/>
          <w:lang w:val="uk-UA"/>
        </w:rPr>
        <w:t>ля досягнення цілей по зменшенню споживання енергії на території міста Житомира не менше ніж на 20%, збільшення частки використання відновлювальних та альтернативних джерел енергії не менше ніж на 20% та скорочення викидів СО</w:t>
      </w:r>
      <w:r w:rsidR="00CA1191" w:rsidRPr="00CA1191">
        <w:rPr>
          <w:rFonts w:ascii="Times New Roman" w:hAnsi="Times New Roman" w:cs="Times New Roman"/>
          <w:sz w:val="28"/>
          <w:szCs w:val="28"/>
          <w:vertAlign w:val="subscript"/>
          <w:lang w:val="uk-UA"/>
        </w:rPr>
        <w:t>2</w:t>
      </w:r>
      <w:r w:rsidR="00CA1191" w:rsidRPr="00CA1191">
        <w:rPr>
          <w:rFonts w:ascii="Times New Roman" w:hAnsi="Times New Roman" w:cs="Times New Roman"/>
          <w:sz w:val="28"/>
          <w:szCs w:val="28"/>
          <w:lang w:val="uk-UA"/>
        </w:rPr>
        <w:t xml:space="preserve"> не менше ніж на 20% до 2020 в місті:</w:t>
      </w:r>
    </w:p>
    <w:p w:rsidR="00CA1191" w:rsidRPr="00CA1191" w:rsidRDefault="00CA1191" w:rsidP="00CA1191">
      <w:pPr>
        <w:numPr>
          <w:ilvl w:val="0"/>
          <w:numId w:val="14"/>
        </w:numPr>
        <w:spacing w:after="0" w:line="240" w:lineRule="auto"/>
        <w:ind w:left="142" w:firstLine="425"/>
        <w:jc w:val="both"/>
        <w:rPr>
          <w:rFonts w:ascii="Times New Roman" w:hAnsi="Times New Roman" w:cs="Times New Roman"/>
          <w:sz w:val="28"/>
          <w:szCs w:val="28"/>
          <w:lang w:val="uk-UA"/>
        </w:rPr>
      </w:pPr>
      <w:r w:rsidRPr="00CA1191">
        <w:rPr>
          <w:rFonts w:ascii="Times New Roman" w:hAnsi="Times New Roman" w:cs="Times New Roman"/>
          <w:sz w:val="28"/>
          <w:szCs w:val="28"/>
          <w:lang w:val="uk-UA"/>
        </w:rPr>
        <w:t xml:space="preserve">введено приватним інвестором в експлуатацію міні-гідроелектростанцію </w:t>
      </w:r>
      <w:bookmarkStart w:id="4" w:name="OLE_LINK26"/>
      <w:r w:rsidRPr="00CA1191">
        <w:rPr>
          <w:rFonts w:ascii="Times New Roman" w:hAnsi="Times New Roman" w:cs="Times New Roman"/>
          <w:sz w:val="28"/>
          <w:szCs w:val="28"/>
          <w:lang w:val="uk-UA"/>
        </w:rPr>
        <w:t>на гідротехнічній споруді за адресою: вул. Жуйка, 12;</w:t>
      </w:r>
      <w:bookmarkEnd w:id="4"/>
    </w:p>
    <w:p w:rsidR="00CA1191" w:rsidRPr="00CA1191" w:rsidRDefault="00CA1191" w:rsidP="00CA1191">
      <w:pPr>
        <w:numPr>
          <w:ilvl w:val="0"/>
          <w:numId w:val="14"/>
        </w:numPr>
        <w:spacing w:after="0" w:line="240" w:lineRule="auto"/>
        <w:ind w:left="142" w:firstLine="425"/>
        <w:jc w:val="both"/>
        <w:rPr>
          <w:rFonts w:ascii="Times New Roman" w:hAnsi="Times New Roman" w:cs="Times New Roman"/>
          <w:sz w:val="28"/>
          <w:szCs w:val="28"/>
          <w:lang w:val="uk-UA"/>
        </w:rPr>
      </w:pPr>
      <w:r w:rsidRPr="00CA1191">
        <w:rPr>
          <w:rFonts w:ascii="Times New Roman" w:hAnsi="Times New Roman" w:cs="Times New Roman"/>
          <w:sz w:val="28"/>
          <w:szCs w:val="28"/>
          <w:lang w:val="uk-UA"/>
        </w:rPr>
        <w:t>укладено інвестиційну угоду з приватним інвестором на будівництво міні-гідроелектростанції на гідротехнічній споруді за адресою: пров. Кривий 10-а (Голова Чацького);</w:t>
      </w:r>
    </w:p>
    <w:p w:rsidR="00CA1191" w:rsidRPr="00CA1191" w:rsidRDefault="00CA1191" w:rsidP="00CA1191">
      <w:pPr>
        <w:numPr>
          <w:ilvl w:val="0"/>
          <w:numId w:val="14"/>
        </w:numPr>
        <w:spacing w:after="0" w:line="240" w:lineRule="auto"/>
        <w:ind w:left="142" w:firstLine="425"/>
        <w:jc w:val="both"/>
        <w:rPr>
          <w:rFonts w:ascii="Times New Roman" w:hAnsi="Times New Roman" w:cs="Times New Roman"/>
          <w:sz w:val="28"/>
          <w:szCs w:val="28"/>
          <w:lang w:val="uk-UA"/>
        </w:rPr>
      </w:pPr>
      <w:r w:rsidRPr="00CA1191">
        <w:rPr>
          <w:rFonts w:ascii="Times New Roman" w:hAnsi="Times New Roman" w:cs="Times New Roman"/>
          <w:sz w:val="28"/>
          <w:szCs w:val="28"/>
          <w:lang w:val="uk-UA"/>
        </w:rPr>
        <w:t xml:space="preserve">виконані роботи з геологічних та геодезичних досліджень земельної ділянки та розроблено техніко-економічне обґрунтування проекту будівництва </w:t>
      </w:r>
      <w:r w:rsidRPr="00CA1191">
        <w:rPr>
          <w:rFonts w:ascii="Times New Roman" w:hAnsi="Times New Roman" w:cs="Times New Roman"/>
          <w:sz w:val="28"/>
          <w:lang w:val="uk-UA"/>
        </w:rPr>
        <w:t xml:space="preserve">наземної фотоелектричної сонячної електростанції потужністю ~10,0 </w:t>
      </w:r>
      <w:r w:rsidRPr="00CA1191">
        <w:rPr>
          <w:rFonts w:ascii="Times New Roman" w:hAnsi="Times New Roman" w:cs="Times New Roman"/>
          <w:sz w:val="28"/>
          <w:szCs w:val="28"/>
          <w:lang w:val="uk-UA"/>
        </w:rPr>
        <w:t>МВт на території Глибочицької сільської ради Житомирського району Житомирської області;</w:t>
      </w:r>
    </w:p>
    <w:p w:rsidR="00CA1191" w:rsidRPr="00CA1191" w:rsidRDefault="00CA1191" w:rsidP="00CA1191">
      <w:pPr>
        <w:numPr>
          <w:ilvl w:val="0"/>
          <w:numId w:val="14"/>
        </w:numPr>
        <w:spacing w:after="0" w:line="240" w:lineRule="auto"/>
        <w:ind w:left="142" w:firstLine="425"/>
        <w:jc w:val="both"/>
        <w:rPr>
          <w:rFonts w:ascii="Times New Roman" w:hAnsi="Times New Roman" w:cs="Times New Roman"/>
          <w:sz w:val="28"/>
          <w:szCs w:val="28"/>
          <w:lang w:val="uk-UA"/>
        </w:rPr>
      </w:pPr>
      <w:r w:rsidRPr="00CA1191">
        <w:rPr>
          <w:rFonts w:ascii="Times New Roman" w:hAnsi="Times New Roman" w:cs="Times New Roman"/>
          <w:sz w:val="28"/>
          <w:szCs w:val="28"/>
          <w:lang w:val="uk-UA"/>
        </w:rPr>
        <w:t xml:space="preserve">розпочато будівельно-монтажні роботи з </w:t>
      </w:r>
      <w:bookmarkStart w:id="5" w:name="OLE_LINK27"/>
      <w:bookmarkStart w:id="6" w:name="OLE_LINK28"/>
      <w:r w:rsidRPr="00CA1191">
        <w:rPr>
          <w:rFonts w:ascii="Times New Roman" w:hAnsi="Times New Roman" w:cs="Times New Roman"/>
          <w:sz w:val="28"/>
          <w:szCs w:val="28"/>
          <w:lang w:val="uk-UA"/>
        </w:rPr>
        <w:t>термосанації</w:t>
      </w:r>
      <w:bookmarkEnd w:id="5"/>
      <w:bookmarkEnd w:id="6"/>
      <w:r w:rsidRPr="00CA1191">
        <w:rPr>
          <w:rFonts w:ascii="Times New Roman" w:hAnsi="Times New Roman" w:cs="Times New Roman"/>
          <w:sz w:val="28"/>
          <w:szCs w:val="28"/>
          <w:lang w:val="uk-UA"/>
        </w:rPr>
        <w:t xml:space="preserve"> 5-ти дошкільних навчальних закладів </w:t>
      </w:r>
      <w:bookmarkStart w:id="7" w:name="OLE_LINK29"/>
      <w:bookmarkStart w:id="8" w:name="OLE_LINK30"/>
      <w:bookmarkStart w:id="9" w:name="OLE_LINK31"/>
      <w:r w:rsidRPr="00CA1191">
        <w:rPr>
          <w:rFonts w:ascii="Times New Roman" w:hAnsi="Times New Roman" w:cs="Times New Roman"/>
          <w:sz w:val="28"/>
          <w:szCs w:val="28"/>
          <w:lang w:val="uk-UA"/>
        </w:rPr>
        <w:t>в рамках проекту «Енергоефективність в м. Житомир», що фінансується Урядом Швейцарії;</w:t>
      </w:r>
      <w:bookmarkEnd w:id="7"/>
      <w:bookmarkEnd w:id="8"/>
      <w:bookmarkEnd w:id="9"/>
    </w:p>
    <w:p w:rsidR="00CA1191" w:rsidRPr="00CA1191" w:rsidRDefault="00CA1191" w:rsidP="00CA1191">
      <w:pPr>
        <w:numPr>
          <w:ilvl w:val="0"/>
          <w:numId w:val="14"/>
        </w:numPr>
        <w:spacing w:after="0" w:line="240" w:lineRule="auto"/>
        <w:ind w:left="142" w:firstLine="425"/>
        <w:jc w:val="both"/>
        <w:rPr>
          <w:rFonts w:ascii="Times New Roman" w:hAnsi="Times New Roman" w:cs="Times New Roman"/>
          <w:sz w:val="28"/>
          <w:szCs w:val="28"/>
          <w:lang w:val="uk-UA"/>
        </w:rPr>
      </w:pPr>
      <w:r w:rsidRPr="00CA1191">
        <w:rPr>
          <w:rFonts w:ascii="Times New Roman" w:hAnsi="Times New Roman" w:cs="Times New Roman"/>
          <w:sz w:val="28"/>
          <w:szCs w:val="28"/>
          <w:lang w:val="uk-UA"/>
        </w:rPr>
        <w:t xml:space="preserve">продовжуються виконуватися роботи з термосанації 22 будівель бюджетної сфери в рамках проекту «Підвищення енергоефективності об’єктів бюджетної сфери міста Житомир», що впроваджується за фінансової підтримки Північної Екологічної Фінансової Корпорації НЕФКО та </w:t>
      </w:r>
      <w:bookmarkStart w:id="10" w:name="OLE_LINK37"/>
      <w:bookmarkStart w:id="11" w:name="OLE_LINK38"/>
      <w:bookmarkStart w:id="12" w:name="OLE_LINK39"/>
      <w:r w:rsidRPr="00CA1191">
        <w:rPr>
          <w:rFonts w:ascii="Times New Roman" w:hAnsi="Times New Roman" w:cs="Times New Roman"/>
          <w:sz w:val="28"/>
          <w:szCs w:val="28"/>
          <w:lang w:val="uk-UA"/>
        </w:rPr>
        <w:t>Фонду Східноєвропейського партнерства з енергоефективності та довкілля Е5Р</w:t>
      </w:r>
      <w:bookmarkEnd w:id="10"/>
      <w:bookmarkEnd w:id="11"/>
      <w:bookmarkEnd w:id="12"/>
      <w:r w:rsidRPr="00CA1191">
        <w:rPr>
          <w:rFonts w:ascii="Times New Roman" w:hAnsi="Times New Roman" w:cs="Times New Roman"/>
          <w:sz w:val="28"/>
          <w:szCs w:val="28"/>
          <w:lang w:val="uk-UA"/>
        </w:rPr>
        <w:t>;</w:t>
      </w:r>
    </w:p>
    <w:p w:rsidR="00CA1191" w:rsidRPr="00CA1191" w:rsidRDefault="00CA1191" w:rsidP="00CA1191">
      <w:pPr>
        <w:numPr>
          <w:ilvl w:val="0"/>
          <w:numId w:val="14"/>
        </w:numPr>
        <w:spacing w:after="0" w:line="240" w:lineRule="auto"/>
        <w:ind w:left="142" w:firstLine="425"/>
        <w:jc w:val="both"/>
        <w:rPr>
          <w:rFonts w:ascii="Times New Roman" w:hAnsi="Times New Roman" w:cs="Times New Roman"/>
          <w:sz w:val="28"/>
          <w:szCs w:val="28"/>
          <w:lang w:val="uk-UA"/>
        </w:rPr>
      </w:pPr>
      <w:r w:rsidRPr="00CA1191">
        <w:rPr>
          <w:rFonts w:ascii="Times New Roman" w:hAnsi="Times New Roman" w:cs="Times New Roman"/>
          <w:sz w:val="28"/>
          <w:szCs w:val="28"/>
          <w:lang w:val="uk-UA"/>
        </w:rPr>
        <w:t xml:space="preserve">укладено два меморандуми про співробітництво з іноземними компаніями щодо будівництва в місті Житомирі </w:t>
      </w:r>
      <w:bookmarkStart w:id="13" w:name="OLE_LINK32"/>
      <w:bookmarkStart w:id="14" w:name="OLE_LINK33"/>
      <w:r w:rsidRPr="00CA1191">
        <w:rPr>
          <w:rFonts w:ascii="Times New Roman" w:hAnsi="Times New Roman" w:cs="Times New Roman"/>
          <w:sz w:val="28"/>
          <w:szCs w:val="28"/>
          <w:lang w:val="uk-UA"/>
        </w:rPr>
        <w:t>когенераційних установок з використанням альтернативних видів палива</w:t>
      </w:r>
      <w:bookmarkEnd w:id="13"/>
      <w:bookmarkEnd w:id="14"/>
      <w:r w:rsidRPr="00CA1191">
        <w:rPr>
          <w:rFonts w:ascii="Times New Roman" w:hAnsi="Times New Roman" w:cs="Times New Roman"/>
          <w:sz w:val="28"/>
          <w:szCs w:val="28"/>
          <w:lang w:val="uk-UA"/>
        </w:rPr>
        <w:t>;</w:t>
      </w:r>
    </w:p>
    <w:p w:rsidR="00CA1191" w:rsidRPr="00CA1191" w:rsidRDefault="00CA1191" w:rsidP="00CA1191">
      <w:pPr>
        <w:numPr>
          <w:ilvl w:val="0"/>
          <w:numId w:val="14"/>
        </w:numPr>
        <w:spacing w:after="0" w:line="240" w:lineRule="auto"/>
        <w:ind w:left="142" w:firstLine="425"/>
        <w:jc w:val="both"/>
        <w:rPr>
          <w:rFonts w:ascii="Times New Roman" w:hAnsi="Times New Roman" w:cs="Times New Roman"/>
          <w:sz w:val="28"/>
          <w:szCs w:val="28"/>
          <w:lang w:val="uk-UA"/>
        </w:rPr>
      </w:pPr>
      <w:r w:rsidRPr="00CA1191">
        <w:rPr>
          <w:rFonts w:ascii="Times New Roman" w:hAnsi="Times New Roman" w:cs="Times New Roman"/>
          <w:sz w:val="28"/>
          <w:szCs w:val="28"/>
          <w:lang w:val="uk-UA"/>
        </w:rPr>
        <w:t xml:space="preserve">розпочато встановлення комунальним підприємством «Житомиртеплокомуненерго» Житомирської міської ради </w:t>
      </w:r>
      <w:r w:rsidRPr="009A7E3E">
        <w:rPr>
          <w:rFonts w:ascii="Times New Roman" w:hAnsi="Times New Roman" w:cs="Times New Roman"/>
          <w:sz w:val="28"/>
          <w:szCs w:val="28"/>
          <w:lang w:val="uk-UA"/>
        </w:rPr>
        <w:t>58</w:t>
      </w:r>
      <w:r w:rsidRPr="00CA1191">
        <w:rPr>
          <w:rFonts w:ascii="Times New Roman" w:hAnsi="Times New Roman" w:cs="Times New Roman"/>
          <w:sz w:val="28"/>
          <w:szCs w:val="28"/>
          <w:lang w:val="uk-UA"/>
        </w:rPr>
        <w:t xml:space="preserve"> індивідуальних теплових пунктів в рамках проекту </w:t>
      </w:r>
      <w:bookmarkStart w:id="15" w:name="OLE_LINK34"/>
      <w:bookmarkStart w:id="16" w:name="OLE_LINK35"/>
      <w:bookmarkStart w:id="17" w:name="OLE_LINK36"/>
      <w:r w:rsidRPr="00CA1191">
        <w:rPr>
          <w:rFonts w:ascii="Times New Roman" w:hAnsi="Times New Roman" w:cs="Times New Roman"/>
          <w:sz w:val="28"/>
          <w:szCs w:val="28"/>
          <w:lang w:val="uk-UA"/>
        </w:rPr>
        <w:t>«Енергоефективність в м. Житомир», що фінансується Урядом Швейцарії</w:t>
      </w:r>
      <w:bookmarkEnd w:id="15"/>
      <w:bookmarkEnd w:id="16"/>
      <w:bookmarkEnd w:id="17"/>
      <w:r w:rsidRPr="00CA1191">
        <w:rPr>
          <w:rFonts w:ascii="Times New Roman" w:hAnsi="Times New Roman" w:cs="Times New Roman"/>
          <w:sz w:val="28"/>
          <w:szCs w:val="28"/>
          <w:lang w:val="uk-UA"/>
        </w:rPr>
        <w:t>;</w:t>
      </w:r>
    </w:p>
    <w:p w:rsidR="00CA1191" w:rsidRPr="00CA1191" w:rsidRDefault="00CA1191" w:rsidP="00CA1191">
      <w:pPr>
        <w:numPr>
          <w:ilvl w:val="0"/>
          <w:numId w:val="14"/>
        </w:numPr>
        <w:spacing w:after="0" w:line="240" w:lineRule="auto"/>
        <w:ind w:left="142" w:firstLine="425"/>
        <w:jc w:val="both"/>
        <w:rPr>
          <w:rFonts w:ascii="Times New Roman" w:hAnsi="Times New Roman" w:cs="Times New Roman"/>
          <w:sz w:val="28"/>
          <w:szCs w:val="28"/>
          <w:lang w:val="uk-UA"/>
        </w:rPr>
      </w:pPr>
      <w:r w:rsidRPr="00CA1191">
        <w:rPr>
          <w:rFonts w:ascii="Times New Roman" w:hAnsi="Times New Roman" w:cs="Times New Roman"/>
          <w:sz w:val="28"/>
          <w:szCs w:val="28"/>
          <w:lang w:val="uk-UA"/>
        </w:rPr>
        <w:t xml:space="preserve">підготовлено технічну та проектну документацію для будівництва 2-х когенераційних установок з використанням альтернативних видів палива, реконструкцію районних котелень, заміну комунікацій та інших компонентів проектів «Енергоефективність в м. Житомир», що фінансується Урядом Швейцарії та «Розвиток системи теплопостачання міста Житомира», що фінансується Європейським банком реконструкції та розвитку і Фонду Східноєвропейського партнерства з енергоефективності та довкілля Е5Р. </w:t>
      </w:r>
    </w:p>
    <w:p w:rsidR="00CA1191" w:rsidRPr="00CA1191" w:rsidRDefault="00CA1191" w:rsidP="00CA1191">
      <w:pPr>
        <w:autoSpaceDE w:val="0"/>
        <w:autoSpaceDN w:val="0"/>
        <w:adjustRightInd w:val="0"/>
        <w:spacing w:after="0" w:line="240" w:lineRule="auto"/>
        <w:ind w:firstLine="708"/>
        <w:jc w:val="both"/>
        <w:rPr>
          <w:rFonts w:ascii="Times New Roman" w:hAnsi="Times New Roman" w:cs="Times New Roman"/>
          <w:sz w:val="28"/>
          <w:szCs w:val="28"/>
          <w:lang w:val="uk-UA"/>
        </w:rPr>
      </w:pPr>
      <w:r w:rsidRPr="00CA1191">
        <w:rPr>
          <w:rFonts w:ascii="Times New Roman" w:hAnsi="Times New Roman" w:cs="Times New Roman"/>
          <w:sz w:val="28"/>
          <w:szCs w:val="28"/>
          <w:lang w:val="uk-UA"/>
        </w:rPr>
        <w:lastRenderedPageBreak/>
        <w:t xml:space="preserve">З метою стимулювання впровадження енергоефективних заходів в багатоквартирних будинках у місті впродовж 2017 року діяла місцева програма відшкодування відсотків або частини тіла кредиту для </w:t>
      </w:r>
      <w:bookmarkStart w:id="18" w:name="OLE_LINK1"/>
      <w:bookmarkStart w:id="19" w:name="OLE_LINK2"/>
      <w:bookmarkStart w:id="20" w:name="OLE_LINK3"/>
      <w:r w:rsidRPr="00CA1191">
        <w:rPr>
          <w:rFonts w:ascii="Times New Roman" w:hAnsi="Times New Roman" w:cs="Times New Roman"/>
          <w:sz w:val="28"/>
          <w:szCs w:val="28"/>
          <w:lang w:val="uk-UA"/>
        </w:rPr>
        <w:t xml:space="preserve">об’єднань співвласників багатоквартирних будинків </w:t>
      </w:r>
      <w:bookmarkEnd w:id="18"/>
      <w:bookmarkEnd w:id="19"/>
      <w:bookmarkEnd w:id="20"/>
      <w:r w:rsidRPr="00CA1191">
        <w:rPr>
          <w:rFonts w:ascii="Times New Roman" w:hAnsi="Times New Roman" w:cs="Times New Roman"/>
          <w:sz w:val="28"/>
          <w:szCs w:val="28"/>
          <w:lang w:val="uk-UA"/>
        </w:rPr>
        <w:t xml:space="preserve">за кредитами на енергоефективні заходи. </w:t>
      </w:r>
    </w:p>
    <w:p w:rsidR="00C10CC4" w:rsidRDefault="00CA1191" w:rsidP="001B60C9">
      <w:pPr>
        <w:pStyle w:val="a3"/>
        <w:tabs>
          <w:tab w:val="left" w:pos="0"/>
        </w:tabs>
        <w:spacing w:after="0" w:line="240" w:lineRule="auto"/>
        <w:ind w:left="0" w:firstLine="567"/>
        <w:jc w:val="both"/>
        <w:rPr>
          <w:rFonts w:ascii="Times New Roman" w:hAnsi="Times New Roman" w:cs="Times New Roman"/>
          <w:color w:val="000000" w:themeColor="text1"/>
          <w:sz w:val="28"/>
          <w:szCs w:val="28"/>
          <w:lang w:val="uk-UA"/>
        </w:rPr>
      </w:pPr>
      <w:r>
        <w:rPr>
          <w:noProof/>
          <w:lang w:eastAsia="ru-RU"/>
        </w:rPr>
        <w:drawing>
          <wp:inline distT="0" distB="0" distL="0" distR="0" wp14:anchorId="02423315" wp14:editId="7C33E2C8">
            <wp:extent cx="4572000" cy="2743200"/>
            <wp:effectExtent l="0" t="0" r="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C10CC4" w:rsidRDefault="00C10CC4" w:rsidP="001B60C9">
      <w:pPr>
        <w:pStyle w:val="a3"/>
        <w:tabs>
          <w:tab w:val="left" w:pos="0"/>
        </w:tabs>
        <w:spacing w:after="0" w:line="240" w:lineRule="auto"/>
        <w:ind w:left="0" w:firstLine="567"/>
        <w:jc w:val="both"/>
        <w:rPr>
          <w:rFonts w:ascii="Times New Roman" w:hAnsi="Times New Roman" w:cs="Times New Roman"/>
          <w:color w:val="000000" w:themeColor="text1"/>
          <w:sz w:val="28"/>
          <w:szCs w:val="28"/>
          <w:lang w:val="uk-UA"/>
        </w:rPr>
      </w:pPr>
    </w:p>
    <w:p w:rsidR="00CA1191" w:rsidRPr="005C2FCF" w:rsidRDefault="00CA1191" w:rsidP="00CA1191">
      <w:pPr>
        <w:autoSpaceDE w:val="0"/>
        <w:autoSpaceDN w:val="0"/>
        <w:adjustRightInd w:val="0"/>
        <w:ind w:firstLine="567"/>
        <w:jc w:val="both"/>
        <w:rPr>
          <w:rFonts w:ascii="Times New Roman" w:hAnsi="Times New Roman" w:cs="Times New Roman"/>
          <w:color w:val="000000" w:themeColor="text1"/>
          <w:sz w:val="28"/>
          <w:szCs w:val="28"/>
          <w:lang w:val="uk-UA"/>
        </w:rPr>
      </w:pPr>
      <w:r w:rsidRPr="005C2FCF">
        <w:rPr>
          <w:rFonts w:ascii="Times New Roman" w:hAnsi="Times New Roman" w:cs="Times New Roman"/>
          <w:color w:val="000000" w:themeColor="text1"/>
          <w:sz w:val="28"/>
          <w:szCs w:val="28"/>
          <w:lang w:val="uk-UA"/>
        </w:rPr>
        <w:t>Проблемними питаннями є:</w:t>
      </w:r>
    </w:p>
    <w:p w:rsidR="00CA1191" w:rsidRPr="005C2FCF" w:rsidRDefault="00CA1191" w:rsidP="00CA1191">
      <w:pPr>
        <w:pStyle w:val="21"/>
        <w:numPr>
          <w:ilvl w:val="0"/>
          <w:numId w:val="15"/>
        </w:numPr>
        <w:tabs>
          <w:tab w:val="left" w:pos="1134"/>
        </w:tabs>
        <w:autoSpaceDE w:val="0"/>
        <w:autoSpaceDN w:val="0"/>
        <w:adjustRightInd w:val="0"/>
        <w:ind w:left="1134" w:hanging="425"/>
        <w:rPr>
          <w:rFonts w:ascii="Times New Roman" w:hAnsi="Times New Roman"/>
          <w:color w:val="000000" w:themeColor="text1"/>
          <w:sz w:val="28"/>
          <w:szCs w:val="28"/>
        </w:rPr>
      </w:pPr>
      <w:r w:rsidRPr="005C2FCF">
        <w:rPr>
          <w:rFonts w:ascii="Times New Roman" w:hAnsi="Times New Roman"/>
          <w:color w:val="000000" w:themeColor="text1"/>
          <w:sz w:val="28"/>
          <w:szCs w:val="28"/>
        </w:rPr>
        <w:t>невідповідність теплотехнічних характеристик огороджувальних конструкцій будівель бюджетних закладів діючим будівельним нормам, як наслідок, порушення температурного режиму та понаднормові втрати тепла в будівлях закладів бюджетної сфери міста;</w:t>
      </w:r>
    </w:p>
    <w:p w:rsidR="00CA1191" w:rsidRPr="005C2FCF" w:rsidRDefault="00CA1191" w:rsidP="00CA1191">
      <w:pPr>
        <w:pStyle w:val="21"/>
        <w:numPr>
          <w:ilvl w:val="0"/>
          <w:numId w:val="15"/>
        </w:numPr>
        <w:tabs>
          <w:tab w:val="left" w:pos="1134"/>
        </w:tabs>
        <w:autoSpaceDE w:val="0"/>
        <w:autoSpaceDN w:val="0"/>
        <w:adjustRightInd w:val="0"/>
        <w:ind w:left="1134" w:hanging="425"/>
        <w:rPr>
          <w:rFonts w:ascii="Times New Roman" w:hAnsi="Times New Roman"/>
          <w:color w:val="000000" w:themeColor="text1"/>
          <w:sz w:val="28"/>
          <w:szCs w:val="28"/>
        </w:rPr>
      </w:pPr>
      <w:r w:rsidRPr="005C2FCF">
        <w:rPr>
          <w:rFonts w:ascii="Times New Roman" w:hAnsi="Times New Roman"/>
          <w:color w:val="000000" w:themeColor="text1"/>
          <w:sz w:val="28"/>
          <w:szCs w:val="28"/>
        </w:rPr>
        <w:t>розбалансованість систем опалення будівель</w:t>
      </w:r>
      <w:r w:rsidR="005C2FCF" w:rsidRPr="005C2FCF">
        <w:rPr>
          <w:rFonts w:ascii="Times New Roman" w:hAnsi="Times New Roman"/>
          <w:color w:val="000000" w:themeColor="text1"/>
          <w:sz w:val="28"/>
          <w:szCs w:val="28"/>
        </w:rPr>
        <w:t xml:space="preserve"> закладів бюджетної сфери міста, відсутність організацій, що здійснюють налаштування та обслуговування ІТП;</w:t>
      </w:r>
    </w:p>
    <w:p w:rsidR="00CA1191" w:rsidRPr="005C2FCF" w:rsidRDefault="00CA1191" w:rsidP="00CA1191">
      <w:pPr>
        <w:pStyle w:val="21"/>
        <w:numPr>
          <w:ilvl w:val="0"/>
          <w:numId w:val="15"/>
        </w:numPr>
        <w:tabs>
          <w:tab w:val="left" w:pos="1134"/>
        </w:tabs>
        <w:autoSpaceDE w:val="0"/>
        <w:autoSpaceDN w:val="0"/>
        <w:adjustRightInd w:val="0"/>
        <w:ind w:left="1134" w:hanging="425"/>
        <w:rPr>
          <w:rFonts w:ascii="Times New Roman" w:hAnsi="Times New Roman"/>
          <w:color w:val="000000" w:themeColor="text1"/>
          <w:sz w:val="28"/>
          <w:szCs w:val="28"/>
        </w:rPr>
      </w:pPr>
      <w:r w:rsidRPr="005C2FCF">
        <w:rPr>
          <w:rFonts w:ascii="Times New Roman" w:hAnsi="Times New Roman"/>
          <w:color w:val="000000" w:themeColor="text1"/>
          <w:sz w:val="28"/>
          <w:szCs w:val="28"/>
        </w:rPr>
        <w:t>відсутність можливості кінцевого споживача впливати на кількість та якість отримуваної теплової енергії: низький рівень забезпечення будівель бюджетних закладів індивідуальними тепловими пунктами, системами автоматичног</w:t>
      </w:r>
      <w:r w:rsidR="005C2FCF" w:rsidRPr="005C2FCF">
        <w:rPr>
          <w:rFonts w:ascii="Times New Roman" w:hAnsi="Times New Roman"/>
          <w:color w:val="000000" w:themeColor="text1"/>
          <w:sz w:val="28"/>
          <w:szCs w:val="28"/>
        </w:rPr>
        <w:t>о регулювання подачі теплоносія.</w:t>
      </w:r>
    </w:p>
    <w:p w:rsidR="00C10CC4" w:rsidRDefault="00C10CC4" w:rsidP="00C10CC4">
      <w:pPr>
        <w:pStyle w:val="a3"/>
        <w:tabs>
          <w:tab w:val="left" w:pos="0"/>
        </w:tabs>
        <w:spacing w:after="0" w:line="240" w:lineRule="auto"/>
        <w:ind w:left="0"/>
        <w:jc w:val="both"/>
        <w:rPr>
          <w:rFonts w:ascii="Times New Roman" w:hAnsi="Times New Roman" w:cs="Times New Roman"/>
          <w:color w:val="000000" w:themeColor="text1"/>
          <w:sz w:val="28"/>
          <w:szCs w:val="28"/>
          <w:lang w:val="uk-UA"/>
        </w:rPr>
      </w:pPr>
    </w:p>
    <w:p w:rsidR="00511EB7" w:rsidRDefault="00967BC1" w:rsidP="00511EB7">
      <w:pPr>
        <w:tabs>
          <w:tab w:val="left" w:pos="0"/>
        </w:tabs>
        <w:spacing w:after="0" w:line="240" w:lineRule="auto"/>
        <w:jc w:val="both"/>
        <w:rPr>
          <w:rFonts w:ascii="Times New Roman" w:hAnsi="Times New Roman" w:cs="Times New Roman"/>
          <w:b/>
          <w:color w:val="000000" w:themeColor="text1"/>
          <w:sz w:val="32"/>
          <w:szCs w:val="32"/>
          <w:lang w:val="uk-UA"/>
        </w:rPr>
      </w:pPr>
      <w:r w:rsidRPr="004A48E6">
        <w:rPr>
          <w:rFonts w:ascii="Times New Roman" w:hAnsi="Times New Roman" w:cs="Times New Roman"/>
          <w:b/>
          <w:color w:val="000000" w:themeColor="text1"/>
          <w:sz w:val="32"/>
          <w:szCs w:val="32"/>
          <w:lang w:val="uk-UA"/>
        </w:rPr>
        <w:t>Забезпечення соціального захисту мешканців</w:t>
      </w:r>
      <w:r w:rsidR="00D9250E">
        <w:rPr>
          <w:rFonts w:ascii="Times New Roman" w:hAnsi="Times New Roman" w:cs="Times New Roman"/>
          <w:b/>
          <w:color w:val="000000" w:themeColor="text1"/>
          <w:sz w:val="32"/>
          <w:szCs w:val="32"/>
          <w:lang w:val="uk-UA"/>
        </w:rPr>
        <w:t xml:space="preserve"> міста</w:t>
      </w:r>
    </w:p>
    <w:p w:rsidR="00511EB7" w:rsidRPr="000C7F59" w:rsidRDefault="00511EB7" w:rsidP="00511EB7">
      <w:pPr>
        <w:spacing w:after="0" w:line="240" w:lineRule="auto"/>
        <w:rPr>
          <w:rFonts w:ascii="Times New Roman" w:hAnsi="Times New Roman" w:cs="Times New Roman"/>
          <w:b/>
          <w:color w:val="000000" w:themeColor="text1"/>
          <w:sz w:val="28"/>
          <w:szCs w:val="28"/>
          <w:lang w:val="uk-UA"/>
        </w:rPr>
      </w:pPr>
      <w:r w:rsidRPr="000C7F59">
        <w:rPr>
          <w:rFonts w:ascii="Times New Roman" w:hAnsi="Times New Roman" w:cs="Times New Roman"/>
          <w:b/>
          <w:color w:val="000000" w:themeColor="text1"/>
          <w:sz w:val="28"/>
          <w:szCs w:val="28"/>
          <w:lang w:val="uk-UA"/>
        </w:rPr>
        <w:t>Грошові доходи , заробітна плата та зайнятість населення</w:t>
      </w:r>
    </w:p>
    <w:p w:rsidR="007601FE" w:rsidRPr="00AA2CC2" w:rsidRDefault="007601FE" w:rsidP="007601FE">
      <w:pPr>
        <w:tabs>
          <w:tab w:val="left" w:pos="567"/>
        </w:tabs>
        <w:spacing w:after="0" w:line="240" w:lineRule="auto"/>
        <w:ind w:hanging="426"/>
        <w:jc w:val="both"/>
        <w:rPr>
          <w:rFonts w:ascii="Times New Roman" w:hAnsi="Times New Roman" w:cs="Times New Roman"/>
          <w:color w:val="000000" w:themeColor="text1"/>
          <w:sz w:val="28"/>
          <w:szCs w:val="28"/>
          <w:lang w:val="uk-UA"/>
        </w:rPr>
      </w:pPr>
      <w:r>
        <w:rPr>
          <w:rFonts w:ascii="Times New Roman" w:hAnsi="Times New Roman" w:cs="Times New Roman"/>
          <w:b/>
          <w:color w:val="000000" w:themeColor="text1"/>
          <w:sz w:val="28"/>
          <w:szCs w:val="28"/>
          <w:lang w:val="uk-UA"/>
        </w:rPr>
        <w:tab/>
      </w:r>
      <w:r>
        <w:rPr>
          <w:rFonts w:ascii="Times New Roman" w:hAnsi="Times New Roman" w:cs="Times New Roman"/>
          <w:b/>
          <w:color w:val="000000" w:themeColor="text1"/>
          <w:sz w:val="28"/>
          <w:szCs w:val="28"/>
          <w:lang w:val="uk-UA"/>
        </w:rPr>
        <w:tab/>
      </w:r>
      <w:r w:rsidRPr="00AA2CC2">
        <w:rPr>
          <w:rFonts w:ascii="Times New Roman" w:hAnsi="Times New Roman" w:cs="Times New Roman"/>
          <w:color w:val="000000" w:themeColor="text1"/>
          <w:sz w:val="28"/>
          <w:szCs w:val="28"/>
          <w:lang w:val="uk-UA"/>
        </w:rPr>
        <w:t>Демогра</w:t>
      </w:r>
      <w:r>
        <w:rPr>
          <w:rFonts w:ascii="Times New Roman" w:hAnsi="Times New Roman" w:cs="Times New Roman"/>
          <w:color w:val="000000" w:themeColor="text1"/>
          <w:sz w:val="28"/>
          <w:szCs w:val="28"/>
          <w:lang w:val="uk-UA"/>
        </w:rPr>
        <w:t xml:space="preserve">фічна криза, складна економічна </w:t>
      </w:r>
      <w:r w:rsidRPr="00AA2CC2">
        <w:rPr>
          <w:rFonts w:ascii="Times New Roman" w:hAnsi="Times New Roman" w:cs="Times New Roman"/>
          <w:color w:val="000000" w:themeColor="text1"/>
          <w:sz w:val="28"/>
          <w:szCs w:val="28"/>
          <w:lang w:val="uk-UA"/>
        </w:rPr>
        <w:t xml:space="preserve">ситуація, несприятливий внутрішній ринок праці призводить до сталої тенденції зменшення кількості штатних працівників на підприємствах, установах, організаціях в Україні, та в </w:t>
      </w:r>
      <w:r w:rsidR="00631D39">
        <w:rPr>
          <w:rFonts w:ascii="Times New Roman" w:hAnsi="Times New Roman" w:cs="Times New Roman"/>
          <w:color w:val="000000" w:themeColor="text1"/>
          <w:sz w:val="28"/>
          <w:szCs w:val="28"/>
          <w:lang w:val="uk-UA"/>
        </w:rPr>
        <w:t xml:space="preserve">місті </w:t>
      </w:r>
      <w:r w:rsidRPr="00AA2CC2">
        <w:rPr>
          <w:rFonts w:ascii="Times New Roman" w:hAnsi="Times New Roman" w:cs="Times New Roman"/>
          <w:color w:val="000000" w:themeColor="text1"/>
          <w:sz w:val="28"/>
          <w:szCs w:val="28"/>
          <w:lang w:val="uk-UA"/>
        </w:rPr>
        <w:t xml:space="preserve">Житомирі зокрема. </w:t>
      </w:r>
    </w:p>
    <w:p w:rsidR="00511EB7" w:rsidRPr="000C7F59" w:rsidRDefault="00511EB7" w:rsidP="00511EB7">
      <w:pPr>
        <w:spacing w:after="0" w:line="240" w:lineRule="auto"/>
        <w:rPr>
          <w:rFonts w:ascii="Times New Roman" w:hAnsi="Times New Roman" w:cs="Times New Roman"/>
          <w:b/>
          <w:color w:val="000000" w:themeColor="text1"/>
          <w:sz w:val="28"/>
          <w:szCs w:val="28"/>
          <w:lang w:val="uk-UA"/>
        </w:rPr>
      </w:pPr>
    </w:p>
    <w:p w:rsidR="000C7F59" w:rsidRDefault="004A48E6" w:rsidP="007601FE">
      <w:pPr>
        <w:tabs>
          <w:tab w:val="left" w:pos="7224"/>
        </w:tabs>
        <w:spacing w:after="0" w:line="240" w:lineRule="auto"/>
        <w:ind w:hanging="426"/>
        <w:jc w:val="center"/>
        <w:rPr>
          <w:rFonts w:ascii="Times New Roman" w:hAnsi="Times New Roman" w:cs="Times New Roman"/>
          <w:color w:val="FF0000"/>
          <w:sz w:val="24"/>
          <w:szCs w:val="24"/>
          <w:lang w:val="uk-UA"/>
        </w:rPr>
      </w:pPr>
      <w:r>
        <w:rPr>
          <w:noProof/>
          <w:lang w:eastAsia="ru-RU"/>
        </w:rPr>
        <w:lastRenderedPageBreak/>
        <w:drawing>
          <wp:inline distT="0" distB="0" distL="0" distR="0">
            <wp:extent cx="3286760" cy="2047240"/>
            <wp:effectExtent l="0" t="0" r="0" b="0"/>
            <wp:docPr id="7"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5B4EA6" w:rsidRDefault="005B4EA6" w:rsidP="00631D39">
      <w:pPr>
        <w:spacing w:after="0" w:line="240" w:lineRule="auto"/>
        <w:ind w:firstLine="567"/>
        <w:jc w:val="both"/>
        <w:rPr>
          <w:rFonts w:ascii="Times New Roman" w:hAnsi="Times New Roman" w:cs="Times New Roman"/>
          <w:color w:val="000000" w:themeColor="text1"/>
          <w:sz w:val="28"/>
          <w:szCs w:val="28"/>
          <w:lang w:val="uk-UA"/>
        </w:rPr>
      </w:pPr>
      <w:r w:rsidRPr="00C96931">
        <w:rPr>
          <w:rFonts w:ascii="Times New Roman" w:hAnsi="Times New Roman" w:cs="Times New Roman"/>
          <w:color w:val="000000" w:themeColor="text1"/>
          <w:sz w:val="28"/>
          <w:szCs w:val="28"/>
          <w:lang w:val="uk-UA"/>
        </w:rPr>
        <w:t>В той же час, протягом</w:t>
      </w:r>
      <w:r w:rsidR="00D807EE" w:rsidRPr="00C96931">
        <w:rPr>
          <w:rFonts w:ascii="Times New Roman" w:hAnsi="Times New Roman" w:cs="Times New Roman"/>
          <w:color w:val="000000" w:themeColor="text1"/>
          <w:sz w:val="28"/>
          <w:szCs w:val="28"/>
          <w:lang w:val="uk-UA"/>
        </w:rPr>
        <w:t xml:space="preserve"> 2017</w:t>
      </w:r>
      <w:r w:rsidRPr="00C96931">
        <w:rPr>
          <w:rFonts w:ascii="Times New Roman" w:hAnsi="Times New Roman" w:cs="Times New Roman"/>
          <w:color w:val="000000" w:themeColor="text1"/>
          <w:sz w:val="28"/>
          <w:szCs w:val="28"/>
          <w:lang w:val="uk-UA"/>
        </w:rPr>
        <w:t xml:space="preserve"> </w:t>
      </w:r>
      <w:r w:rsidR="00D807EE" w:rsidRPr="00C96931">
        <w:rPr>
          <w:rFonts w:ascii="Times New Roman" w:hAnsi="Times New Roman" w:cs="Times New Roman"/>
          <w:color w:val="000000" w:themeColor="text1"/>
          <w:sz w:val="28"/>
          <w:szCs w:val="28"/>
          <w:lang w:val="uk-UA"/>
        </w:rPr>
        <w:t>року збільшилася кількість вакансій, про які повідомили підприємства, установи, організації</w:t>
      </w:r>
      <w:r w:rsidRPr="00C96931">
        <w:rPr>
          <w:rFonts w:ascii="Times New Roman" w:hAnsi="Times New Roman" w:cs="Times New Roman"/>
          <w:color w:val="000000" w:themeColor="text1"/>
          <w:sz w:val="28"/>
          <w:szCs w:val="28"/>
          <w:lang w:val="uk-UA"/>
        </w:rPr>
        <w:t xml:space="preserve"> Житомирськ</w:t>
      </w:r>
      <w:r w:rsidR="00D807EE" w:rsidRPr="00C96931">
        <w:rPr>
          <w:rFonts w:ascii="Times New Roman" w:hAnsi="Times New Roman" w:cs="Times New Roman"/>
          <w:color w:val="000000" w:themeColor="text1"/>
          <w:sz w:val="28"/>
          <w:szCs w:val="28"/>
          <w:lang w:val="uk-UA"/>
        </w:rPr>
        <w:t>ий</w:t>
      </w:r>
      <w:r w:rsidRPr="00C96931">
        <w:rPr>
          <w:rFonts w:ascii="Times New Roman" w:hAnsi="Times New Roman" w:cs="Times New Roman"/>
          <w:color w:val="000000" w:themeColor="text1"/>
          <w:sz w:val="28"/>
          <w:szCs w:val="28"/>
          <w:lang w:val="uk-UA"/>
        </w:rPr>
        <w:t xml:space="preserve"> міськ</w:t>
      </w:r>
      <w:r w:rsidR="00D807EE" w:rsidRPr="00C96931">
        <w:rPr>
          <w:rFonts w:ascii="Times New Roman" w:hAnsi="Times New Roman" w:cs="Times New Roman"/>
          <w:color w:val="000000" w:themeColor="text1"/>
          <w:sz w:val="28"/>
          <w:szCs w:val="28"/>
          <w:lang w:val="uk-UA"/>
        </w:rPr>
        <w:t>ий</w:t>
      </w:r>
      <w:r w:rsidRPr="00C96931">
        <w:rPr>
          <w:rFonts w:ascii="Times New Roman" w:hAnsi="Times New Roman" w:cs="Times New Roman"/>
          <w:color w:val="000000" w:themeColor="text1"/>
          <w:sz w:val="28"/>
          <w:szCs w:val="28"/>
          <w:lang w:val="uk-UA"/>
        </w:rPr>
        <w:t xml:space="preserve"> центр зайнятості. Станом на 1 жовтня 2017 року кількість </w:t>
      </w:r>
      <w:r w:rsidR="006146A7" w:rsidRPr="00C96931">
        <w:rPr>
          <w:rFonts w:ascii="Times New Roman" w:hAnsi="Times New Roman" w:cs="Times New Roman"/>
          <w:color w:val="000000" w:themeColor="text1"/>
          <w:sz w:val="28"/>
          <w:szCs w:val="28"/>
          <w:lang w:val="uk-UA"/>
        </w:rPr>
        <w:t>вільних</w:t>
      </w:r>
      <w:r w:rsidRPr="00C96931">
        <w:rPr>
          <w:rFonts w:ascii="Times New Roman" w:hAnsi="Times New Roman" w:cs="Times New Roman"/>
          <w:color w:val="000000" w:themeColor="text1"/>
          <w:sz w:val="28"/>
          <w:szCs w:val="28"/>
          <w:lang w:val="uk-UA"/>
        </w:rPr>
        <w:t xml:space="preserve"> вакансій становила 1</w:t>
      </w:r>
      <w:r w:rsidR="00B465F7" w:rsidRPr="00C96931">
        <w:rPr>
          <w:rFonts w:ascii="Times New Roman" w:hAnsi="Times New Roman" w:cs="Times New Roman"/>
          <w:color w:val="000000" w:themeColor="text1"/>
          <w:sz w:val="28"/>
          <w:szCs w:val="28"/>
          <w:lang w:val="uk-UA"/>
        </w:rPr>
        <w:t>147</w:t>
      </w:r>
      <w:r w:rsidRPr="00C96931">
        <w:rPr>
          <w:rFonts w:ascii="Times New Roman" w:hAnsi="Times New Roman" w:cs="Times New Roman"/>
          <w:color w:val="000000" w:themeColor="text1"/>
          <w:sz w:val="28"/>
          <w:szCs w:val="28"/>
          <w:lang w:val="uk-UA"/>
        </w:rPr>
        <w:t xml:space="preserve"> одиниць. З них 29,5</w:t>
      </w:r>
      <w:r w:rsidR="00F87DFC" w:rsidRPr="00C96931">
        <w:rPr>
          <w:rFonts w:ascii="Times New Roman" w:hAnsi="Times New Roman" w:cs="Times New Roman"/>
          <w:color w:val="000000" w:themeColor="text1"/>
          <w:sz w:val="28"/>
          <w:szCs w:val="28"/>
          <w:lang w:val="uk-UA"/>
        </w:rPr>
        <w:t> </w:t>
      </w:r>
      <w:r w:rsidRPr="00C96931">
        <w:rPr>
          <w:rFonts w:ascii="Times New Roman" w:hAnsi="Times New Roman" w:cs="Times New Roman"/>
          <w:color w:val="000000" w:themeColor="text1"/>
          <w:sz w:val="28"/>
          <w:szCs w:val="28"/>
          <w:lang w:val="uk-UA"/>
        </w:rPr>
        <w:t>% склали вакансії д</w:t>
      </w:r>
      <w:r w:rsidR="00F00BCE" w:rsidRPr="00C96931">
        <w:rPr>
          <w:rFonts w:ascii="Times New Roman" w:hAnsi="Times New Roman" w:cs="Times New Roman"/>
          <w:color w:val="000000" w:themeColor="text1"/>
          <w:sz w:val="28"/>
          <w:szCs w:val="28"/>
          <w:lang w:val="uk-UA"/>
        </w:rPr>
        <w:t xml:space="preserve">ля службовців, </w:t>
      </w:r>
      <w:r w:rsidRPr="00C96931">
        <w:rPr>
          <w:rFonts w:ascii="Times New Roman" w:hAnsi="Times New Roman" w:cs="Times New Roman"/>
          <w:color w:val="000000" w:themeColor="text1"/>
          <w:sz w:val="28"/>
          <w:szCs w:val="28"/>
          <w:lang w:val="uk-UA"/>
        </w:rPr>
        <w:t>70,5</w:t>
      </w:r>
      <w:r w:rsidR="00F87DFC" w:rsidRPr="00C96931">
        <w:rPr>
          <w:rFonts w:ascii="Times New Roman" w:hAnsi="Times New Roman" w:cs="Times New Roman"/>
          <w:color w:val="000000" w:themeColor="text1"/>
          <w:sz w:val="28"/>
          <w:szCs w:val="28"/>
          <w:lang w:val="uk-UA"/>
        </w:rPr>
        <w:t> </w:t>
      </w:r>
      <w:r w:rsidRPr="00C96931">
        <w:rPr>
          <w:rFonts w:ascii="Times New Roman" w:hAnsi="Times New Roman" w:cs="Times New Roman"/>
          <w:color w:val="000000" w:themeColor="text1"/>
          <w:sz w:val="28"/>
          <w:szCs w:val="28"/>
          <w:lang w:val="uk-UA"/>
        </w:rPr>
        <w:t xml:space="preserve">% </w:t>
      </w:r>
      <w:r w:rsidR="00F87DFC" w:rsidRPr="00C96931">
        <w:rPr>
          <w:rFonts w:ascii="Times New Roman" w:hAnsi="Times New Roman" w:cs="Times New Roman"/>
          <w:color w:val="000000" w:themeColor="text1"/>
          <w:sz w:val="28"/>
          <w:szCs w:val="28"/>
          <w:lang w:val="uk-UA"/>
        </w:rPr>
        <w:t>–</w:t>
      </w:r>
      <w:r w:rsidRPr="00C96931">
        <w:rPr>
          <w:rFonts w:ascii="Times New Roman" w:hAnsi="Times New Roman" w:cs="Times New Roman"/>
          <w:color w:val="000000" w:themeColor="text1"/>
          <w:sz w:val="28"/>
          <w:szCs w:val="28"/>
          <w:lang w:val="uk-UA"/>
        </w:rPr>
        <w:t xml:space="preserve"> для робітників та осіб без професій. </w:t>
      </w:r>
    </w:p>
    <w:p w:rsidR="00530E6F" w:rsidRDefault="00530E6F" w:rsidP="00631D39">
      <w:pPr>
        <w:spacing w:after="0" w:line="240" w:lineRule="auto"/>
        <w:ind w:firstLine="567"/>
        <w:jc w:val="both"/>
        <w:rPr>
          <w:rFonts w:ascii="Times New Roman" w:hAnsi="Times New Roman" w:cs="Times New Roman"/>
          <w:color w:val="000000" w:themeColor="text1"/>
          <w:sz w:val="28"/>
          <w:szCs w:val="28"/>
          <w:lang w:val="uk-UA"/>
        </w:rPr>
      </w:pPr>
    </w:p>
    <w:p w:rsidR="00530E6F" w:rsidRPr="00C96931" w:rsidRDefault="00530E6F" w:rsidP="00631D39">
      <w:pPr>
        <w:spacing w:after="0" w:line="240" w:lineRule="auto"/>
        <w:ind w:firstLine="567"/>
        <w:jc w:val="both"/>
        <w:rPr>
          <w:rFonts w:ascii="Times New Roman" w:hAnsi="Times New Roman" w:cs="Times New Roman"/>
          <w:color w:val="000000" w:themeColor="text1"/>
          <w:sz w:val="28"/>
          <w:szCs w:val="28"/>
          <w:lang w:val="uk-UA"/>
        </w:rPr>
      </w:pPr>
      <w:r>
        <w:rPr>
          <w:noProof/>
          <w:lang w:eastAsia="ru-RU"/>
        </w:rPr>
        <w:drawing>
          <wp:inline distT="0" distB="0" distL="0" distR="0" wp14:anchorId="3FE8726F" wp14:editId="2D6C6477">
            <wp:extent cx="4572000" cy="1981200"/>
            <wp:effectExtent l="0" t="0" r="0" b="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6146A7" w:rsidRDefault="006146A7" w:rsidP="004A48E6">
      <w:pPr>
        <w:spacing w:after="0" w:line="240" w:lineRule="auto"/>
        <w:ind w:firstLine="708"/>
        <w:jc w:val="both"/>
        <w:rPr>
          <w:rFonts w:ascii="Times New Roman" w:hAnsi="Times New Roman" w:cs="Times New Roman"/>
          <w:color w:val="FF0000"/>
          <w:sz w:val="28"/>
          <w:szCs w:val="28"/>
          <w:lang w:val="uk-UA"/>
        </w:rPr>
      </w:pPr>
    </w:p>
    <w:p w:rsidR="006146A7" w:rsidRDefault="006146A7" w:rsidP="004A48E6">
      <w:pPr>
        <w:spacing w:after="0" w:line="240" w:lineRule="auto"/>
        <w:ind w:firstLine="708"/>
        <w:jc w:val="both"/>
        <w:rPr>
          <w:rFonts w:ascii="Times New Roman" w:hAnsi="Times New Roman" w:cs="Times New Roman"/>
          <w:color w:val="FF0000"/>
          <w:sz w:val="28"/>
          <w:szCs w:val="28"/>
          <w:lang w:val="uk-UA"/>
        </w:rPr>
      </w:pPr>
    </w:p>
    <w:p w:rsidR="005B4EA6" w:rsidRPr="00C96931" w:rsidRDefault="00F87DFC" w:rsidP="00631D39">
      <w:pPr>
        <w:spacing w:after="0" w:line="240" w:lineRule="auto"/>
        <w:ind w:firstLine="567"/>
        <w:jc w:val="both"/>
        <w:rPr>
          <w:rFonts w:ascii="Times New Roman" w:hAnsi="Times New Roman" w:cs="Times New Roman"/>
          <w:color w:val="000000" w:themeColor="text1"/>
          <w:sz w:val="28"/>
          <w:szCs w:val="28"/>
          <w:lang w:val="uk-UA"/>
        </w:rPr>
      </w:pPr>
      <w:r w:rsidRPr="00C96931">
        <w:rPr>
          <w:rFonts w:ascii="Times New Roman" w:hAnsi="Times New Roman" w:cs="Times New Roman"/>
          <w:color w:val="000000" w:themeColor="text1"/>
          <w:sz w:val="28"/>
          <w:szCs w:val="28"/>
          <w:lang w:val="uk-UA"/>
        </w:rPr>
        <w:t>Найбільше вакансій є</w:t>
      </w:r>
      <w:r w:rsidR="005B4EA6" w:rsidRPr="00C96931">
        <w:rPr>
          <w:rFonts w:ascii="Times New Roman" w:hAnsi="Times New Roman" w:cs="Times New Roman"/>
          <w:color w:val="000000" w:themeColor="text1"/>
          <w:sz w:val="28"/>
          <w:szCs w:val="28"/>
          <w:lang w:val="uk-UA"/>
        </w:rPr>
        <w:t xml:space="preserve"> на підприємствах переробної промисловості (303 вакансії) та в сфері оптової та роздрібної торгівлі (242 вакансії). В секторі державного управління та оборони </w:t>
      </w:r>
      <w:r w:rsidR="00BB13D8" w:rsidRPr="00C96931">
        <w:rPr>
          <w:rFonts w:ascii="Times New Roman" w:hAnsi="Times New Roman" w:cs="Times New Roman"/>
          <w:color w:val="000000" w:themeColor="text1"/>
          <w:sz w:val="28"/>
          <w:szCs w:val="28"/>
          <w:lang w:val="uk-UA"/>
        </w:rPr>
        <w:t>вільними</w:t>
      </w:r>
      <w:r w:rsidR="005B4EA6" w:rsidRPr="00C96931">
        <w:rPr>
          <w:rFonts w:ascii="Times New Roman" w:hAnsi="Times New Roman" w:cs="Times New Roman"/>
          <w:color w:val="000000" w:themeColor="text1"/>
          <w:sz w:val="28"/>
          <w:szCs w:val="28"/>
          <w:lang w:val="uk-UA"/>
        </w:rPr>
        <w:t xml:space="preserve"> є 207 вакансій.</w:t>
      </w:r>
    </w:p>
    <w:p w:rsidR="005B4EA6" w:rsidRPr="00C96931" w:rsidRDefault="005B4EA6" w:rsidP="00631D39">
      <w:pPr>
        <w:spacing w:after="0" w:line="240" w:lineRule="auto"/>
        <w:ind w:firstLine="567"/>
        <w:jc w:val="both"/>
        <w:rPr>
          <w:rFonts w:ascii="Times New Roman" w:hAnsi="Times New Roman" w:cs="Times New Roman"/>
          <w:color w:val="000000" w:themeColor="text1"/>
          <w:sz w:val="28"/>
          <w:szCs w:val="28"/>
          <w:lang w:val="uk-UA"/>
        </w:rPr>
      </w:pPr>
      <w:r w:rsidRPr="00C96931">
        <w:rPr>
          <w:rFonts w:ascii="Times New Roman" w:hAnsi="Times New Roman" w:cs="Times New Roman"/>
          <w:color w:val="000000" w:themeColor="text1"/>
          <w:sz w:val="28"/>
          <w:szCs w:val="28"/>
          <w:lang w:val="uk-UA"/>
        </w:rPr>
        <w:t xml:space="preserve">Середній розмір заробітної плати </w:t>
      </w:r>
      <w:r w:rsidR="00266339" w:rsidRPr="00C96931">
        <w:rPr>
          <w:rFonts w:ascii="Times New Roman" w:hAnsi="Times New Roman" w:cs="Times New Roman"/>
          <w:color w:val="000000" w:themeColor="text1"/>
          <w:sz w:val="28"/>
          <w:szCs w:val="28"/>
          <w:lang w:val="uk-UA"/>
        </w:rPr>
        <w:t>для</w:t>
      </w:r>
      <w:r w:rsidRPr="00C96931">
        <w:rPr>
          <w:rFonts w:ascii="Times New Roman" w:hAnsi="Times New Roman" w:cs="Times New Roman"/>
          <w:color w:val="000000" w:themeColor="text1"/>
          <w:sz w:val="28"/>
          <w:szCs w:val="28"/>
          <w:lang w:val="uk-UA"/>
        </w:rPr>
        <w:t xml:space="preserve"> вакансі</w:t>
      </w:r>
      <w:r w:rsidR="00266339" w:rsidRPr="00C96931">
        <w:rPr>
          <w:rFonts w:ascii="Times New Roman" w:hAnsi="Times New Roman" w:cs="Times New Roman"/>
          <w:color w:val="000000" w:themeColor="text1"/>
          <w:sz w:val="28"/>
          <w:szCs w:val="28"/>
          <w:lang w:val="uk-UA"/>
        </w:rPr>
        <w:t>й</w:t>
      </w:r>
      <w:r w:rsidRPr="00C96931">
        <w:rPr>
          <w:rFonts w:ascii="Times New Roman" w:hAnsi="Times New Roman" w:cs="Times New Roman"/>
          <w:color w:val="000000" w:themeColor="text1"/>
          <w:sz w:val="28"/>
          <w:szCs w:val="28"/>
          <w:lang w:val="uk-UA"/>
        </w:rPr>
        <w:t xml:space="preserve"> становив </w:t>
      </w:r>
      <w:r w:rsidR="001E5C36" w:rsidRPr="00C96931">
        <w:rPr>
          <w:rFonts w:ascii="Times New Roman" w:hAnsi="Times New Roman" w:cs="Times New Roman"/>
          <w:color w:val="000000" w:themeColor="text1"/>
          <w:sz w:val="28"/>
          <w:szCs w:val="28"/>
          <w:lang w:val="uk-UA"/>
        </w:rPr>
        <w:t>4,2 тис. грн., для кваліфікованих робітників</w:t>
      </w:r>
      <w:r w:rsidRPr="00C96931">
        <w:rPr>
          <w:rFonts w:ascii="Times New Roman" w:hAnsi="Times New Roman" w:cs="Times New Roman"/>
          <w:color w:val="000000" w:themeColor="text1"/>
          <w:sz w:val="28"/>
          <w:szCs w:val="28"/>
          <w:lang w:val="uk-UA"/>
        </w:rPr>
        <w:t xml:space="preserve"> з інструментом – 4,5 тис. гривень.</w:t>
      </w:r>
    </w:p>
    <w:p w:rsidR="005B4EA6" w:rsidRPr="00C96931" w:rsidRDefault="001E5C36" w:rsidP="00631D39">
      <w:pPr>
        <w:spacing w:after="0" w:line="240" w:lineRule="auto"/>
        <w:ind w:firstLine="567"/>
        <w:jc w:val="both"/>
        <w:rPr>
          <w:rFonts w:ascii="Times New Roman" w:hAnsi="Times New Roman" w:cs="Times New Roman"/>
          <w:color w:val="000000" w:themeColor="text1"/>
          <w:sz w:val="28"/>
          <w:szCs w:val="28"/>
          <w:lang w:val="uk-UA"/>
        </w:rPr>
      </w:pPr>
      <w:r w:rsidRPr="00C96931">
        <w:rPr>
          <w:rFonts w:ascii="Times New Roman" w:hAnsi="Times New Roman" w:cs="Times New Roman"/>
          <w:color w:val="000000" w:themeColor="text1"/>
          <w:sz w:val="28"/>
          <w:szCs w:val="28"/>
          <w:lang w:val="uk-UA"/>
        </w:rPr>
        <w:t>На 1 вільне робоче місце претенду</w:t>
      </w:r>
      <w:r w:rsidR="00266339" w:rsidRPr="00C96931">
        <w:rPr>
          <w:rFonts w:ascii="Times New Roman" w:hAnsi="Times New Roman" w:cs="Times New Roman"/>
          <w:color w:val="000000" w:themeColor="text1"/>
          <w:sz w:val="28"/>
          <w:szCs w:val="28"/>
          <w:lang w:val="uk-UA"/>
        </w:rPr>
        <w:t>вав</w:t>
      </w:r>
      <w:r w:rsidRPr="00C96931">
        <w:rPr>
          <w:rFonts w:ascii="Times New Roman" w:hAnsi="Times New Roman" w:cs="Times New Roman"/>
          <w:color w:val="000000" w:themeColor="text1"/>
          <w:sz w:val="28"/>
          <w:szCs w:val="28"/>
          <w:lang w:val="uk-UA"/>
        </w:rPr>
        <w:t xml:space="preserve"> один зареєстрований безробітний.</w:t>
      </w:r>
    </w:p>
    <w:p w:rsidR="001E5C36" w:rsidRPr="00C96931" w:rsidRDefault="001E5C36" w:rsidP="00631D39">
      <w:pPr>
        <w:spacing w:after="0" w:line="240" w:lineRule="auto"/>
        <w:ind w:firstLine="567"/>
        <w:jc w:val="both"/>
        <w:rPr>
          <w:rFonts w:ascii="Times New Roman" w:hAnsi="Times New Roman" w:cs="Times New Roman"/>
          <w:color w:val="000000" w:themeColor="text1"/>
          <w:sz w:val="28"/>
          <w:szCs w:val="28"/>
          <w:lang w:val="uk-UA"/>
        </w:rPr>
      </w:pPr>
      <w:r w:rsidRPr="00C96931">
        <w:rPr>
          <w:rFonts w:ascii="Times New Roman" w:hAnsi="Times New Roman" w:cs="Times New Roman"/>
          <w:color w:val="000000" w:themeColor="text1"/>
          <w:sz w:val="28"/>
          <w:szCs w:val="28"/>
          <w:lang w:val="uk-UA"/>
        </w:rPr>
        <w:t xml:space="preserve">Проте, існує професійно-кваліфікаційна диспропорція попиту та пропозиції робочої сили. Найвища конкуренція серед </w:t>
      </w:r>
      <w:r w:rsidR="00266339" w:rsidRPr="00C96931">
        <w:rPr>
          <w:rFonts w:ascii="Times New Roman" w:hAnsi="Times New Roman" w:cs="Times New Roman"/>
          <w:color w:val="000000" w:themeColor="text1"/>
          <w:sz w:val="28"/>
          <w:szCs w:val="28"/>
          <w:lang w:val="uk-UA"/>
        </w:rPr>
        <w:t>юристів</w:t>
      </w:r>
      <w:r w:rsidRPr="00C96931">
        <w:rPr>
          <w:rFonts w:ascii="Times New Roman" w:hAnsi="Times New Roman" w:cs="Times New Roman"/>
          <w:color w:val="000000" w:themeColor="text1"/>
          <w:sz w:val="28"/>
          <w:szCs w:val="28"/>
          <w:lang w:val="uk-UA"/>
        </w:rPr>
        <w:t>, вищих державних службовців, керівників та менеджерів – на 1 вільне робоче місце претендує 4 особи.</w:t>
      </w:r>
    </w:p>
    <w:p w:rsidR="001E5C36" w:rsidRDefault="001E5C36" w:rsidP="00631D39">
      <w:pPr>
        <w:spacing w:after="0" w:line="240" w:lineRule="auto"/>
        <w:ind w:firstLine="567"/>
        <w:jc w:val="both"/>
        <w:rPr>
          <w:rFonts w:ascii="Times New Roman" w:hAnsi="Times New Roman" w:cs="Times New Roman"/>
          <w:color w:val="000000" w:themeColor="text1"/>
          <w:sz w:val="28"/>
          <w:szCs w:val="28"/>
          <w:lang w:val="uk-UA"/>
        </w:rPr>
      </w:pPr>
      <w:r w:rsidRPr="00C96931">
        <w:rPr>
          <w:rFonts w:ascii="Times New Roman" w:hAnsi="Times New Roman" w:cs="Times New Roman"/>
          <w:color w:val="000000" w:themeColor="text1"/>
          <w:sz w:val="28"/>
          <w:szCs w:val="28"/>
          <w:lang w:val="uk-UA"/>
        </w:rPr>
        <w:t>Гостро відчувається дефіцит кваліфікованих робітників з інструментом (попит на них в 5,5 разів перевищує пропозицію). Тривалий</w:t>
      </w:r>
      <w:r>
        <w:rPr>
          <w:rFonts w:ascii="Times New Roman" w:hAnsi="Times New Roman" w:cs="Times New Roman"/>
          <w:color w:val="FF0000"/>
          <w:sz w:val="28"/>
          <w:szCs w:val="28"/>
          <w:lang w:val="uk-UA"/>
        </w:rPr>
        <w:t xml:space="preserve"> </w:t>
      </w:r>
      <w:r w:rsidRPr="00C96931">
        <w:rPr>
          <w:rFonts w:ascii="Times New Roman" w:hAnsi="Times New Roman" w:cs="Times New Roman"/>
          <w:color w:val="000000" w:themeColor="text1"/>
          <w:sz w:val="28"/>
          <w:szCs w:val="28"/>
          <w:lang w:val="uk-UA"/>
        </w:rPr>
        <w:t>час не укомплектовуються робочі місця електрогазозварювальників, токарів, шліфувальників, слюсарів із складання металевих конструкцій, слюсарів-</w:t>
      </w:r>
      <w:r w:rsidRPr="00C96931">
        <w:rPr>
          <w:rFonts w:ascii="Times New Roman" w:hAnsi="Times New Roman" w:cs="Times New Roman"/>
          <w:color w:val="000000" w:themeColor="text1"/>
          <w:sz w:val="28"/>
          <w:szCs w:val="28"/>
          <w:lang w:val="uk-UA"/>
        </w:rPr>
        <w:lastRenderedPageBreak/>
        <w:t>ремонтників</w:t>
      </w:r>
      <w:r w:rsidR="00CF1D61" w:rsidRPr="00C96931">
        <w:rPr>
          <w:rFonts w:ascii="Times New Roman" w:hAnsi="Times New Roman" w:cs="Times New Roman"/>
          <w:color w:val="000000" w:themeColor="text1"/>
          <w:sz w:val="28"/>
          <w:szCs w:val="28"/>
          <w:lang w:val="uk-UA"/>
        </w:rPr>
        <w:t>, електромонтерів, швачок, кондитерів, продавців продовольчих товарів.</w:t>
      </w:r>
    </w:p>
    <w:p w:rsidR="007601FE" w:rsidRDefault="007601FE" w:rsidP="00631D39">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П</w:t>
      </w:r>
      <w:r w:rsidRPr="00D471B6">
        <w:rPr>
          <w:rFonts w:ascii="Times New Roman" w:hAnsi="Times New Roman" w:cs="Times New Roman"/>
          <w:sz w:val="28"/>
          <w:szCs w:val="28"/>
          <w:lang w:val="uk-UA"/>
        </w:rPr>
        <w:t>ротягом трьох років спостерігається тенденція підвищення заробітної плати.</w:t>
      </w:r>
    </w:p>
    <w:p w:rsidR="007601FE" w:rsidRDefault="007601FE" w:rsidP="00631D39">
      <w:pPr>
        <w:spacing w:after="0" w:line="240" w:lineRule="auto"/>
        <w:ind w:firstLine="567"/>
        <w:jc w:val="both"/>
        <w:rPr>
          <w:rFonts w:ascii="Times New Roman" w:hAnsi="Times New Roman" w:cs="Times New Roman"/>
          <w:sz w:val="28"/>
          <w:szCs w:val="28"/>
          <w:lang w:val="uk-UA"/>
        </w:rPr>
      </w:pPr>
      <w:r w:rsidRPr="00D471B6">
        <w:rPr>
          <w:rFonts w:ascii="Times New Roman" w:hAnsi="Times New Roman" w:cs="Times New Roman"/>
          <w:sz w:val="28"/>
          <w:szCs w:val="28"/>
          <w:lang w:val="uk-UA"/>
        </w:rPr>
        <w:t>Середня заробітна плата штатних працівників підприємств, установ та організацій у січні</w:t>
      </w:r>
      <w:r>
        <w:rPr>
          <w:rFonts w:ascii="Times New Roman" w:hAnsi="Times New Roman" w:cs="Times New Roman"/>
          <w:sz w:val="28"/>
          <w:szCs w:val="28"/>
          <w:lang w:val="uk-UA"/>
        </w:rPr>
        <w:t> – </w:t>
      </w:r>
      <w:r w:rsidRPr="00D471B6">
        <w:rPr>
          <w:rFonts w:ascii="Times New Roman" w:hAnsi="Times New Roman" w:cs="Times New Roman"/>
          <w:sz w:val="28"/>
          <w:szCs w:val="28"/>
          <w:lang w:val="uk-UA"/>
        </w:rPr>
        <w:t>че</w:t>
      </w:r>
      <w:r>
        <w:rPr>
          <w:rFonts w:ascii="Times New Roman" w:hAnsi="Times New Roman" w:cs="Times New Roman"/>
          <w:sz w:val="28"/>
          <w:szCs w:val="28"/>
          <w:lang w:val="uk-UA"/>
        </w:rPr>
        <w:t>рвні 2017 року становила 6102,0 </w:t>
      </w:r>
      <w:r w:rsidRPr="00D471B6">
        <w:rPr>
          <w:rFonts w:ascii="Times New Roman" w:hAnsi="Times New Roman" w:cs="Times New Roman"/>
          <w:sz w:val="28"/>
          <w:szCs w:val="28"/>
          <w:lang w:val="uk-UA"/>
        </w:rPr>
        <w:t>грн., що перевищує законодавчо встановлені соціальні стандарти: мінімальну заробітну пл</w:t>
      </w:r>
      <w:r>
        <w:rPr>
          <w:rFonts w:ascii="Times New Roman" w:hAnsi="Times New Roman" w:cs="Times New Roman"/>
          <w:sz w:val="28"/>
          <w:szCs w:val="28"/>
          <w:lang w:val="uk-UA"/>
        </w:rPr>
        <w:t>ату (3200,0 </w:t>
      </w:r>
      <w:r w:rsidRPr="00D471B6">
        <w:rPr>
          <w:rFonts w:ascii="Times New Roman" w:hAnsi="Times New Roman" w:cs="Times New Roman"/>
          <w:sz w:val="28"/>
          <w:szCs w:val="28"/>
          <w:lang w:val="uk-UA"/>
        </w:rPr>
        <w:t>грн</w:t>
      </w:r>
      <w:r>
        <w:rPr>
          <w:rFonts w:ascii="Times New Roman" w:hAnsi="Times New Roman" w:cs="Times New Roman"/>
          <w:sz w:val="28"/>
          <w:szCs w:val="28"/>
          <w:lang w:val="uk-UA"/>
        </w:rPr>
        <w:t>.</w:t>
      </w:r>
      <w:r w:rsidRPr="00D471B6">
        <w:rPr>
          <w:rFonts w:ascii="Times New Roman" w:hAnsi="Times New Roman" w:cs="Times New Roman"/>
          <w:sz w:val="28"/>
          <w:szCs w:val="28"/>
          <w:lang w:val="uk-UA"/>
        </w:rPr>
        <w:t>) в 1,9 рази та прожитковий мінімум для працездатних осіб (1684</w:t>
      </w:r>
      <w:r>
        <w:rPr>
          <w:rFonts w:ascii="Times New Roman" w:hAnsi="Times New Roman" w:cs="Times New Roman"/>
          <w:sz w:val="28"/>
          <w:szCs w:val="28"/>
          <w:lang w:val="uk-UA"/>
        </w:rPr>
        <w:t>,0 </w:t>
      </w:r>
      <w:r w:rsidRPr="00D471B6">
        <w:rPr>
          <w:rFonts w:ascii="Times New Roman" w:hAnsi="Times New Roman" w:cs="Times New Roman"/>
          <w:sz w:val="28"/>
          <w:szCs w:val="28"/>
          <w:lang w:val="uk-UA"/>
        </w:rPr>
        <w:t xml:space="preserve">грн.) у 3,6 рази. </w:t>
      </w:r>
    </w:p>
    <w:p w:rsidR="004A48E6" w:rsidRDefault="004A48E6" w:rsidP="007601FE">
      <w:pPr>
        <w:tabs>
          <w:tab w:val="left" w:pos="0"/>
        </w:tabs>
        <w:spacing w:after="0" w:line="240" w:lineRule="auto"/>
        <w:jc w:val="center"/>
        <w:rPr>
          <w:rFonts w:ascii="Times New Roman" w:hAnsi="Times New Roman" w:cs="Times New Roman"/>
          <w:color w:val="FF0000"/>
          <w:sz w:val="28"/>
          <w:szCs w:val="28"/>
          <w:lang w:val="uk-UA"/>
        </w:rPr>
      </w:pPr>
      <w:r w:rsidRPr="001E5C36">
        <w:rPr>
          <w:rFonts w:ascii="Times New Roman" w:hAnsi="Times New Roman" w:cs="Times New Roman"/>
          <w:noProof/>
          <w:sz w:val="28"/>
          <w:szCs w:val="28"/>
          <w:lang w:eastAsia="ru-RU"/>
        </w:rPr>
        <w:drawing>
          <wp:inline distT="0" distB="0" distL="0" distR="0">
            <wp:extent cx="2961657" cy="2600696"/>
            <wp:effectExtent l="19050" t="0" r="0" b="0"/>
            <wp:docPr id="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7601FE" w:rsidRDefault="007601FE" w:rsidP="00631D39">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У той же час, заборгованість із виплати заробітної плати поступово знижується і становить 2,4 млн. гривень.</w:t>
      </w:r>
    </w:p>
    <w:p w:rsidR="004A48E6" w:rsidRPr="00A773E3" w:rsidRDefault="00F00BCE" w:rsidP="007601FE">
      <w:pPr>
        <w:spacing w:after="0" w:line="240" w:lineRule="auto"/>
        <w:ind w:hanging="567"/>
        <w:jc w:val="center"/>
        <w:rPr>
          <w:rFonts w:ascii="Times New Roman" w:hAnsi="Times New Roman" w:cs="Times New Roman"/>
          <w:sz w:val="20"/>
          <w:szCs w:val="20"/>
          <w:lang w:val="uk-UA"/>
        </w:rPr>
      </w:pPr>
      <w:r>
        <w:rPr>
          <w:rFonts w:ascii="Times New Roman" w:hAnsi="Times New Roman" w:cs="Times New Roman"/>
          <w:noProof/>
          <w:sz w:val="20"/>
          <w:szCs w:val="20"/>
          <w:lang w:eastAsia="ru-RU"/>
        </w:rPr>
        <w:drawing>
          <wp:inline distT="0" distB="0" distL="0" distR="0">
            <wp:extent cx="3315462" cy="1877568"/>
            <wp:effectExtent l="19050" t="0" r="0" b="0"/>
            <wp:docPr id="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7601FE" w:rsidRDefault="007601FE" w:rsidP="007601FE">
      <w:pPr>
        <w:tabs>
          <w:tab w:val="left" w:pos="1418"/>
        </w:tabs>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У структурі загального боргу з виплати заробітної плати 48,0 % (1166,2 тис. грн.) припадає на ВАТ «Льонотекс», щодо якого реалізується процедура відновлення платоспроможності боржника або визнання його банкрутом, решта – 52,0 % (1</w:t>
      </w:r>
      <w:r w:rsidR="00A43E7D">
        <w:rPr>
          <w:rFonts w:ascii="Times New Roman" w:hAnsi="Times New Roman" w:cs="Times New Roman"/>
          <w:sz w:val="28"/>
          <w:szCs w:val="28"/>
          <w:lang w:val="uk-UA"/>
        </w:rPr>
        <w:t>263,6 тис. грн.) припадає на ДП </w:t>
      </w:r>
      <w:r>
        <w:rPr>
          <w:rFonts w:ascii="Times New Roman" w:hAnsi="Times New Roman" w:cs="Times New Roman"/>
          <w:sz w:val="28"/>
          <w:szCs w:val="28"/>
          <w:lang w:val="uk-UA"/>
        </w:rPr>
        <w:t>«Поліськгеодезкартографія», що належить до сфери управління Держземагенства України (припинило свою діяльність).</w:t>
      </w:r>
    </w:p>
    <w:p w:rsidR="004A48E6" w:rsidRDefault="004A48E6" w:rsidP="004A48E6">
      <w:pPr>
        <w:spacing w:after="0" w:line="240" w:lineRule="auto"/>
        <w:ind w:firstLine="708"/>
        <w:rPr>
          <w:rFonts w:ascii="Times New Roman" w:hAnsi="Times New Roman" w:cs="Times New Roman"/>
          <w:sz w:val="28"/>
          <w:szCs w:val="28"/>
          <w:lang w:val="uk-UA"/>
        </w:rPr>
      </w:pPr>
    </w:p>
    <w:p w:rsidR="004A48E6" w:rsidRPr="006C0308" w:rsidRDefault="004A48E6" w:rsidP="004A48E6">
      <w:pPr>
        <w:spacing w:after="0" w:line="240" w:lineRule="auto"/>
        <w:jc w:val="both"/>
        <w:rPr>
          <w:rFonts w:ascii="Times New Roman" w:hAnsi="Times New Roman" w:cs="Times New Roman"/>
          <w:sz w:val="16"/>
          <w:szCs w:val="16"/>
          <w:lang w:val="uk-UA"/>
        </w:rPr>
      </w:pPr>
    </w:p>
    <w:p w:rsidR="004A48E6" w:rsidRDefault="006E67C8" w:rsidP="00A43E7D">
      <w:pPr>
        <w:spacing w:after="0" w:line="240" w:lineRule="auto"/>
        <w:ind w:hanging="426"/>
        <w:jc w:val="center"/>
        <w:rPr>
          <w:rFonts w:ascii="Times New Roman" w:hAnsi="Times New Roman" w:cs="Times New Roman"/>
          <w:sz w:val="24"/>
          <w:szCs w:val="24"/>
          <w:lang w:val="uk-UA"/>
        </w:rPr>
      </w:pPr>
      <w:r>
        <w:rPr>
          <w:rFonts w:ascii="Times New Roman" w:hAnsi="Times New Roman" w:cs="Times New Roman"/>
          <w:noProof/>
          <w:sz w:val="24"/>
          <w:szCs w:val="24"/>
          <w:lang w:eastAsia="ru-RU"/>
        </w:rPr>
        <w:lastRenderedPageBreak/>
        <w:drawing>
          <wp:inline distT="0" distB="0" distL="0" distR="0">
            <wp:extent cx="3580130" cy="2162175"/>
            <wp:effectExtent l="0" t="0" r="0" b="0"/>
            <wp:docPr id="1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4A48E6" w:rsidRDefault="004A48E6" w:rsidP="004A48E6">
      <w:pPr>
        <w:spacing w:after="0" w:line="240" w:lineRule="auto"/>
        <w:ind w:firstLine="567"/>
        <w:jc w:val="both"/>
        <w:rPr>
          <w:rFonts w:ascii="Times New Roman" w:hAnsi="Times New Roman" w:cs="Times New Roman"/>
          <w:sz w:val="28"/>
          <w:szCs w:val="28"/>
          <w:lang w:val="uk-UA"/>
        </w:rPr>
      </w:pPr>
    </w:p>
    <w:p w:rsidR="004A48E6" w:rsidRDefault="004A48E6" w:rsidP="004A48E6">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Проблемними питаннями залишаються:</w:t>
      </w:r>
    </w:p>
    <w:p w:rsidR="004A48E6" w:rsidRPr="00037115" w:rsidRDefault="004A48E6" w:rsidP="00085F2F">
      <w:pPr>
        <w:numPr>
          <w:ilvl w:val="0"/>
          <w:numId w:val="4"/>
        </w:numPr>
        <w:tabs>
          <w:tab w:val="left" w:pos="1134"/>
        </w:tabs>
        <w:spacing w:after="0" w:line="240" w:lineRule="auto"/>
        <w:ind w:left="1134" w:hanging="425"/>
        <w:jc w:val="both"/>
        <w:rPr>
          <w:rFonts w:ascii="Times New Roman" w:hAnsi="Times New Roman" w:cs="Times New Roman"/>
          <w:color w:val="000000"/>
          <w:sz w:val="28"/>
          <w:szCs w:val="28"/>
          <w:lang w:val="uk-UA"/>
        </w:rPr>
      </w:pPr>
      <w:r w:rsidRPr="00037115">
        <w:rPr>
          <w:rFonts w:ascii="Times New Roman" w:hAnsi="Times New Roman" w:cs="Times New Roman"/>
          <w:color w:val="000000"/>
          <w:sz w:val="28"/>
          <w:szCs w:val="28"/>
          <w:lang w:val="uk-UA"/>
        </w:rPr>
        <w:t xml:space="preserve">існуюча заборгованість із виплати заробітної плати на </w:t>
      </w:r>
      <w:r>
        <w:rPr>
          <w:rFonts w:ascii="Times New Roman" w:hAnsi="Times New Roman" w:cs="Times New Roman"/>
          <w:color w:val="000000"/>
          <w:sz w:val="28"/>
          <w:szCs w:val="28"/>
          <w:lang w:val="uk-UA"/>
        </w:rPr>
        <w:t>підприємстві-банкруті та економічно-неактивному підприємстві;</w:t>
      </w:r>
    </w:p>
    <w:p w:rsidR="004A48E6" w:rsidRDefault="004A48E6" w:rsidP="00085F2F">
      <w:pPr>
        <w:numPr>
          <w:ilvl w:val="0"/>
          <w:numId w:val="4"/>
        </w:numPr>
        <w:tabs>
          <w:tab w:val="left" w:pos="1134"/>
        </w:tabs>
        <w:spacing w:after="0" w:line="240" w:lineRule="auto"/>
        <w:ind w:left="1134" w:hanging="425"/>
        <w:jc w:val="both"/>
        <w:rPr>
          <w:rFonts w:ascii="Times New Roman" w:hAnsi="Times New Roman" w:cs="Times New Roman"/>
          <w:color w:val="000000"/>
          <w:sz w:val="28"/>
          <w:szCs w:val="28"/>
          <w:lang w:val="uk-UA"/>
        </w:rPr>
      </w:pPr>
      <w:r w:rsidRPr="00037115">
        <w:rPr>
          <w:rFonts w:ascii="Times New Roman" w:hAnsi="Times New Roman" w:cs="Times New Roman"/>
          <w:color w:val="000000"/>
          <w:sz w:val="28"/>
          <w:szCs w:val="28"/>
          <w:lang w:val="uk-UA"/>
        </w:rPr>
        <w:t xml:space="preserve">невідповідність виплати заробітної плати </w:t>
      </w:r>
      <w:r>
        <w:rPr>
          <w:rFonts w:ascii="Times New Roman" w:hAnsi="Times New Roman" w:cs="Times New Roman"/>
          <w:color w:val="000000"/>
          <w:sz w:val="28"/>
          <w:szCs w:val="28"/>
          <w:lang w:val="uk-UA"/>
        </w:rPr>
        <w:t>рівню</w:t>
      </w:r>
      <w:r w:rsidRPr="00037115">
        <w:rPr>
          <w:rFonts w:ascii="Times New Roman" w:hAnsi="Times New Roman" w:cs="Times New Roman"/>
          <w:color w:val="000000"/>
          <w:sz w:val="28"/>
          <w:szCs w:val="28"/>
          <w:lang w:val="uk-UA"/>
        </w:rPr>
        <w:t xml:space="preserve"> оплати праці в галузях економіки;</w:t>
      </w:r>
    </w:p>
    <w:p w:rsidR="008011D7" w:rsidRDefault="008011D7" w:rsidP="00085F2F">
      <w:pPr>
        <w:numPr>
          <w:ilvl w:val="0"/>
          <w:numId w:val="4"/>
        </w:numPr>
        <w:tabs>
          <w:tab w:val="left" w:pos="1134"/>
        </w:tabs>
        <w:spacing w:after="0" w:line="240" w:lineRule="auto"/>
        <w:ind w:left="1134" w:hanging="425"/>
        <w:jc w:val="both"/>
        <w:rPr>
          <w:rFonts w:ascii="Times New Roman" w:hAnsi="Times New Roman" w:cs="Times New Roman"/>
          <w:color w:val="000000"/>
          <w:sz w:val="28"/>
          <w:szCs w:val="28"/>
          <w:lang w:val="uk-UA"/>
        </w:rPr>
      </w:pPr>
      <w:r w:rsidRPr="00037115">
        <w:rPr>
          <w:rFonts w:ascii="Times New Roman" w:hAnsi="Times New Roman" w:cs="Times New Roman"/>
          <w:color w:val="000000"/>
          <w:sz w:val="28"/>
          <w:szCs w:val="28"/>
          <w:lang w:val="uk-UA"/>
        </w:rPr>
        <w:t>нелегальна зайнятість та виплата за</w:t>
      </w:r>
      <w:r>
        <w:rPr>
          <w:rFonts w:ascii="Times New Roman" w:hAnsi="Times New Roman" w:cs="Times New Roman"/>
          <w:color w:val="000000"/>
          <w:sz w:val="28"/>
          <w:szCs w:val="28"/>
          <w:lang w:val="uk-UA"/>
        </w:rPr>
        <w:t>робітної плати «в конвертах»;</w:t>
      </w:r>
    </w:p>
    <w:p w:rsidR="004A48E6" w:rsidRPr="008011D7" w:rsidRDefault="004A48E6" w:rsidP="00085F2F">
      <w:pPr>
        <w:numPr>
          <w:ilvl w:val="0"/>
          <w:numId w:val="4"/>
        </w:numPr>
        <w:tabs>
          <w:tab w:val="left" w:pos="1134"/>
        </w:tabs>
        <w:spacing w:after="0" w:line="240" w:lineRule="auto"/>
        <w:ind w:left="1134" w:hanging="425"/>
        <w:jc w:val="both"/>
        <w:rPr>
          <w:rFonts w:ascii="Times New Roman" w:hAnsi="Times New Roman" w:cs="Times New Roman"/>
          <w:color w:val="000000"/>
          <w:sz w:val="28"/>
          <w:szCs w:val="28"/>
          <w:lang w:val="uk-UA"/>
        </w:rPr>
      </w:pPr>
      <w:r w:rsidRPr="00037115">
        <w:rPr>
          <w:rFonts w:ascii="Times New Roman" w:hAnsi="Times New Roman" w:cs="Times New Roman"/>
          <w:color w:val="000000"/>
          <w:sz w:val="28"/>
          <w:szCs w:val="28"/>
          <w:lang w:val="uk-UA"/>
        </w:rPr>
        <w:t>значна кільк</w:t>
      </w:r>
      <w:r>
        <w:rPr>
          <w:rFonts w:ascii="Times New Roman" w:hAnsi="Times New Roman" w:cs="Times New Roman"/>
          <w:color w:val="000000"/>
          <w:sz w:val="28"/>
          <w:szCs w:val="28"/>
          <w:lang w:val="uk-UA"/>
        </w:rPr>
        <w:t xml:space="preserve">ість </w:t>
      </w:r>
      <w:r w:rsidR="001F5BA5">
        <w:rPr>
          <w:rFonts w:ascii="Times New Roman" w:hAnsi="Times New Roman" w:cs="Times New Roman"/>
          <w:color w:val="000000"/>
          <w:sz w:val="28"/>
          <w:szCs w:val="28"/>
          <w:lang w:val="uk-UA"/>
        </w:rPr>
        <w:t>вакансій на ринку праці пропонується з рівнем оплати праці, наближеним до рівня мінімальної заробітної плати</w:t>
      </w:r>
      <w:r w:rsidRPr="00037115">
        <w:rPr>
          <w:rFonts w:ascii="Times New Roman" w:hAnsi="Times New Roman" w:cs="Times New Roman"/>
          <w:color w:val="000000"/>
          <w:sz w:val="28"/>
          <w:szCs w:val="28"/>
          <w:lang w:val="uk-UA"/>
        </w:rPr>
        <w:t xml:space="preserve"> </w:t>
      </w:r>
      <w:r w:rsidR="008E1D9C">
        <w:rPr>
          <w:rFonts w:ascii="Times New Roman" w:hAnsi="Times New Roman" w:cs="Times New Roman"/>
          <w:color w:val="000000"/>
          <w:sz w:val="28"/>
          <w:szCs w:val="28"/>
          <w:lang w:val="uk-UA"/>
        </w:rPr>
        <w:t>(заробітна плата по 93 % вакансій не перевищує 4 тис.</w:t>
      </w:r>
      <w:r w:rsidR="008B2E96">
        <w:rPr>
          <w:rFonts w:ascii="Times New Roman" w:hAnsi="Times New Roman" w:cs="Times New Roman"/>
          <w:color w:val="000000"/>
          <w:sz w:val="28"/>
          <w:szCs w:val="28"/>
          <w:lang w:val="uk-UA"/>
        </w:rPr>
        <w:t xml:space="preserve"> </w:t>
      </w:r>
      <w:r w:rsidR="008E1D9C">
        <w:rPr>
          <w:rFonts w:ascii="Times New Roman" w:hAnsi="Times New Roman" w:cs="Times New Roman"/>
          <w:color w:val="000000"/>
          <w:sz w:val="28"/>
          <w:szCs w:val="28"/>
          <w:lang w:val="uk-UA"/>
        </w:rPr>
        <w:t>гривень);</w:t>
      </w:r>
    </w:p>
    <w:p w:rsidR="008011D7" w:rsidRPr="00037115" w:rsidRDefault="008011D7" w:rsidP="00085F2F">
      <w:pPr>
        <w:numPr>
          <w:ilvl w:val="0"/>
          <w:numId w:val="4"/>
        </w:numPr>
        <w:tabs>
          <w:tab w:val="left" w:pos="1134"/>
        </w:tabs>
        <w:spacing w:after="0" w:line="240" w:lineRule="auto"/>
        <w:ind w:left="1134" w:hanging="425"/>
        <w:jc w:val="both"/>
        <w:rPr>
          <w:rFonts w:ascii="Times New Roman" w:hAnsi="Times New Roman" w:cs="Times New Roman"/>
          <w:color w:val="000000"/>
          <w:sz w:val="28"/>
          <w:szCs w:val="28"/>
          <w:lang w:val="uk-UA"/>
        </w:rPr>
      </w:pPr>
      <w:r w:rsidRPr="008011D7">
        <w:rPr>
          <w:rFonts w:ascii="Times New Roman" w:hAnsi="Times New Roman" w:cs="Times New Roman"/>
          <w:color w:val="000000"/>
          <w:sz w:val="28"/>
          <w:szCs w:val="28"/>
        </w:rPr>
        <w:t>професійно-кваліфікаційна диспропорція попиту та пропозиції робочої сили;</w:t>
      </w:r>
    </w:p>
    <w:p w:rsidR="004A48E6" w:rsidRPr="00037115" w:rsidRDefault="004A48E6" w:rsidP="00085F2F">
      <w:pPr>
        <w:numPr>
          <w:ilvl w:val="0"/>
          <w:numId w:val="4"/>
        </w:numPr>
        <w:tabs>
          <w:tab w:val="left" w:pos="1134"/>
        </w:tabs>
        <w:spacing w:after="0" w:line="240" w:lineRule="auto"/>
        <w:ind w:left="1134" w:hanging="425"/>
        <w:jc w:val="both"/>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відтік робітничих кадрів до інших міст та за кордон.</w:t>
      </w:r>
      <w:r w:rsidRPr="00037115">
        <w:rPr>
          <w:rFonts w:ascii="Times New Roman" w:hAnsi="Times New Roman" w:cs="Times New Roman"/>
          <w:color w:val="000000"/>
          <w:sz w:val="28"/>
          <w:szCs w:val="28"/>
          <w:lang w:val="uk-UA"/>
        </w:rPr>
        <w:t xml:space="preserve"> </w:t>
      </w:r>
    </w:p>
    <w:p w:rsidR="006E67C8" w:rsidRDefault="006E67C8" w:rsidP="00085F2F">
      <w:pPr>
        <w:pStyle w:val="a3"/>
        <w:tabs>
          <w:tab w:val="left" w:pos="0"/>
          <w:tab w:val="left" w:pos="1134"/>
        </w:tabs>
        <w:spacing w:after="0" w:line="240" w:lineRule="auto"/>
        <w:ind w:left="1134" w:hanging="425"/>
        <w:jc w:val="both"/>
        <w:rPr>
          <w:rFonts w:ascii="Times New Roman" w:hAnsi="Times New Roman" w:cs="Times New Roman"/>
          <w:b/>
          <w:color w:val="000000" w:themeColor="text1"/>
          <w:sz w:val="28"/>
          <w:szCs w:val="28"/>
          <w:lang w:val="uk-UA"/>
        </w:rPr>
      </w:pPr>
    </w:p>
    <w:p w:rsidR="00AB3BA1" w:rsidRDefault="00AB3BA1" w:rsidP="00AB3BA1">
      <w:pPr>
        <w:spacing w:after="0" w:line="240" w:lineRule="auto"/>
        <w:rPr>
          <w:rFonts w:ascii="Times New Roman" w:hAnsi="Times New Roman" w:cs="Times New Roman"/>
          <w:b/>
          <w:sz w:val="28"/>
          <w:szCs w:val="28"/>
          <w:lang w:val="uk-UA"/>
        </w:rPr>
      </w:pPr>
      <w:r>
        <w:rPr>
          <w:rFonts w:ascii="Times New Roman" w:hAnsi="Times New Roman" w:cs="Times New Roman"/>
          <w:b/>
          <w:sz w:val="28"/>
          <w:szCs w:val="28"/>
          <w:lang w:val="uk-UA"/>
        </w:rPr>
        <w:t>Соціальний захист</w:t>
      </w:r>
    </w:p>
    <w:p w:rsidR="000A0FF6" w:rsidRDefault="000A0FF6" w:rsidP="000A0FF6">
      <w:pPr>
        <w:spacing w:after="0" w:line="240" w:lineRule="auto"/>
        <w:ind w:firstLine="708"/>
        <w:jc w:val="both"/>
        <w:rPr>
          <w:rFonts w:ascii="Times New Roman" w:hAnsi="Times New Roman" w:cs="Times New Roman"/>
          <w:sz w:val="28"/>
          <w:szCs w:val="28"/>
          <w:lang w:val="uk-UA"/>
        </w:rPr>
      </w:pPr>
      <w:r w:rsidRPr="00015C34">
        <w:rPr>
          <w:rFonts w:ascii="Times New Roman" w:hAnsi="Times New Roman" w:cs="Times New Roman"/>
          <w:color w:val="000000" w:themeColor="text1"/>
          <w:sz w:val="28"/>
          <w:szCs w:val="28"/>
          <w:lang w:val="uk-UA"/>
        </w:rPr>
        <w:t>В м. Житомирі проживає більше 20 тисяч осіб, які отримують соціальну допомогу.</w:t>
      </w:r>
      <w:r>
        <w:rPr>
          <w:rFonts w:ascii="Times New Roman" w:hAnsi="Times New Roman" w:cs="Times New Roman"/>
          <w:sz w:val="28"/>
          <w:szCs w:val="28"/>
          <w:lang w:val="uk-UA"/>
        </w:rPr>
        <w:t xml:space="preserve"> </w:t>
      </w:r>
      <w:r w:rsidRPr="00A61607">
        <w:rPr>
          <w:rFonts w:ascii="Times New Roman" w:hAnsi="Times New Roman" w:cs="Times New Roman"/>
          <w:sz w:val="28"/>
          <w:szCs w:val="28"/>
          <w:lang w:val="uk-UA"/>
        </w:rPr>
        <w:t>Третину населення міста</w:t>
      </w:r>
      <w:r>
        <w:rPr>
          <w:rFonts w:ascii="Times New Roman" w:hAnsi="Times New Roman" w:cs="Times New Roman"/>
          <w:sz w:val="28"/>
          <w:szCs w:val="28"/>
          <w:lang w:val="uk-UA"/>
        </w:rPr>
        <w:t xml:space="preserve"> складають пенсіонери. </w:t>
      </w:r>
    </w:p>
    <w:p w:rsidR="000A0FF6" w:rsidRDefault="000A0FF6" w:rsidP="00AB3BA1">
      <w:pPr>
        <w:spacing w:after="0" w:line="240" w:lineRule="auto"/>
        <w:rPr>
          <w:rFonts w:ascii="Times New Roman" w:hAnsi="Times New Roman" w:cs="Times New Roman"/>
          <w:b/>
          <w:sz w:val="28"/>
          <w:szCs w:val="28"/>
          <w:lang w:val="uk-UA"/>
        </w:rPr>
      </w:pPr>
    </w:p>
    <w:p w:rsidR="00AB3BA1" w:rsidRPr="00942B03" w:rsidRDefault="00AB3BA1" w:rsidP="000A0FF6">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3219450" cy="2047875"/>
            <wp:effectExtent l="0" t="0" r="0" b="0"/>
            <wp:docPr id="1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AB3BA1" w:rsidRDefault="00AB3BA1" w:rsidP="00AB3BA1">
      <w:pPr>
        <w:spacing w:after="0" w:line="240" w:lineRule="auto"/>
        <w:ind w:hanging="567"/>
        <w:rPr>
          <w:rFonts w:ascii="Times New Roman" w:hAnsi="Times New Roman" w:cs="Times New Roman"/>
          <w:b/>
          <w:sz w:val="28"/>
          <w:szCs w:val="28"/>
          <w:lang w:val="uk-UA"/>
        </w:rPr>
      </w:pPr>
    </w:p>
    <w:p w:rsidR="00AB3BA1" w:rsidRDefault="00AB3BA1" w:rsidP="00AB3BA1">
      <w:pPr>
        <w:spacing w:after="0" w:line="240" w:lineRule="auto"/>
        <w:ind w:firstLine="708"/>
        <w:jc w:val="both"/>
        <w:rPr>
          <w:rFonts w:ascii="Times New Roman" w:hAnsi="Times New Roman" w:cs="Times New Roman"/>
          <w:sz w:val="28"/>
          <w:szCs w:val="28"/>
          <w:lang w:val="uk-UA"/>
        </w:rPr>
      </w:pPr>
      <w:r w:rsidRPr="0049148D">
        <w:rPr>
          <w:rFonts w:ascii="Times New Roman" w:hAnsi="Times New Roman" w:cs="Times New Roman"/>
          <w:noProof/>
          <w:sz w:val="28"/>
          <w:szCs w:val="28"/>
          <w:lang w:eastAsia="ru-RU"/>
        </w:rPr>
        <w:lastRenderedPageBreak/>
        <w:drawing>
          <wp:inline distT="0" distB="0" distL="0" distR="0">
            <wp:extent cx="5372100" cy="2295525"/>
            <wp:effectExtent l="0" t="0" r="0" b="0"/>
            <wp:docPr id="11"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AB3BA1" w:rsidRPr="00674022" w:rsidRDefault="00AB3BA1" w:rsidP="00AB3BA1">
      <w:pPr>
        <w:spacing w:after="0" w:line="240" w:lineRule="auto"/>
        <w:ind w:firstLine="708"/>
        <w:jc w:val="both"/>
        <w:rPr>
          <w:rFonts w:ascii="Times New Roman" w:hAnsi="Times New Roman" w:cs="Times New Roman"/>
          <w:sz w:val="28"/>
          <w:szCs w:val="28"/>
        </w:rPr>
      </w:pPr>
      <w:r w:rsidRPr="0049148D">
        <w:rPr>
          <w:rFonts w:ascii="Times New Roman" w:hAnsi="Times New Roman" w:cs="Times New Roman"/>
          <w:noProof/>
          <w:sz w:val="28"/>
          <w:szCs w:val="28"/>
          <w:lang w:eastAsia="ru-RU"/>
        </w:rPr>
        <w:drawing>
          <wp:inline distT="0" distB="0" distL="0" distR="0">
            <wp:extent cx="5369560" cy="2533650"/>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AB3BA1" w:rsidRDefault="00AB3BA1" w:rsidP="00AB3BA1">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Здійснення соціального обслуговування та надання соціальних послуг, матеріальної, медико-соціальної і побутової допомоги малозабезпеченим громадянам забезпечується Житомирським міським територіальним центром соціального обслуговування.</w:t>
      </w:r>
    </w:p>
    <w:p w:rsidR="00961519" w:rsidRDefault="00961519" w:rsidP="00AB3BA1">
      <w:pPr>
        <w:spacing w:after="0" w:line="240" w:lineRule="auto"/>
        <w:ind w:firstLine="567"/>
        <w:jc w:val="both"/>
        <w:rPr>
          <w:rFonts w:ascii="Times New Roman" w:hAnsi="Times New Roman" w:cs="Times New Roman"/>
          <w:sz w:val="28"/>
          <w:szCs w:val="28"/>
          <w:lang w:val="uk-UA"/>
        </w:rPr>
      </w:pPr>
    </w:p>
    <w:p w:rsidR="00AB3BA1" w:rsidRDefault="00AB3BA1" w:rsidP="00AB3BA1">
      <w:pPr>
        <w:spacing w:after="0" w:line="240" w:lineRule="auto"/>
        <w:jc w:val="center"/>
        <w:rPr>
          <w:rFonts w:ascii="Times New Roman" w:hAnsi="Times New Roman" w:cs="Times New Roman"/>
          <w:sz w:val="28"/>
          <w:szCs w:val="28"/>
          <w:lang w:val="uk-UA"/>
        </w:rPr>
      </w:pPr>
      <w:r w:rsidRPr="003E1C5B">
        <w:rPr>
          <w:rFonts w:ascii="Times New Roman" w:hAnsi="Times New Roman" w:cs="Times New Roman"/>
          <w:noProof/>
          <w:sz w:val="28"/>
          <w:szCs w:val="28"/>
          <w:lang w:eastAsia="ru-RU"/>
        </w:rPr>
        <w:drawing>
          <wp:inline distT="0" distB="0" distL="0" distR="0">
            <wp:extent cx="5875782" cy="2060448"/>
            <wp:effectExtent l="19050" t="0" r="0" b="0"/>
            <wp:docPr id="14"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AB3BA1" w:rsidRDefault="00AB3BA1" w:rsidP="00AB3BA1">
      <w:pPr>
        <w:spacing w:after="0" w:line="240" w:lineRule="auto"/>
        <w:ind w:firstLine="709"/>
        <w:jc w:val="both"/>
        <w:rPr>
          <w:rFonts w:ascii="Times New Roman" w:hAnsi="Times New Roman" w:cs="Times New Roman"/>
          <w:i/>
          <w:color w:val="FF0000"/>
          <w:sz w:val="20"/>
          <w:szCs w:val="20"/>
          <w:lang w:val="uk-UA"/>
        </w:rPr>
      </w:pPr>
    </w:p>
    <w:p w:rsidR="00AB3BA1" w:rsidRDefault="00AB3BA1" w:rsidP="00AB3BA1">
      <w:pPr>
        <w:spacing w:after="0" w:line="240" w:lineRule="auto"/>
        <w:ind w:firstLine="709"/>
        <w:jc w:val="both"/>
        <w:rPr>
          <w:rFonts w:ascii="Times New Roman" w:hAnsi="Times New Roman" w:cs="Times New Roman"/>
          <w:i/>
          <w:color w:val="FF0000"/>
          <w:sz w:val="20"/>
          <w:szCs w:val="20"/>
          <w:lang w:val="uk-UA"/>
        </w:rPr>
      </w:pPr>
    </w:p>
    <w:p w:rsidR="00961519" w:rsidRDefault="00961519" w:rsidP="00AB3BA1">
      <w:pPr>
        <w:spacing w:after="0" w:line="240" w:lineRule="auto"/>
        <w:ind w:firstLine="709"/>
        <w:jc w:val="both"/>
        <w:rPr>
          <w:rFonts w:ascii="Times New Roman" w:hAnsi="Times New Roman" w:cs="Times New Roman"/>
          <w:i/>
          <w:color w:val="FF0000"/>
          <w:sz w:val="20"/>
          <w:szCs w:val="20"/>
          <w:lang w:val="uk-UA"/>
        </w:rPr>
      </w:pPr>
    </w:p>
    <w:p w:rsidR="00961519" w:rsidRDefault="00961519" w:rsidP="00AB3BA1">
      <w:pPr>
        <w:spacing w:after="0" w:line="240" w:lineRule="auto"/>
        <w:ind w:firstLine="709"/>
        <w:jc w:val="both"/>
        <w:rPr>
          <w:rFonts w:ascii="Times New Roman" w:hAnsi="Times New Roman" w:cs="Times New Roman"/>
          <w:i/>
          <w:color w:val="FF0000"/>
          <w:sz w:val="20"/>
          <w:szCs w:val="20"/>
          <w:lang w:val="uk-UA"/>
        </w:rPr>
      </w:pPr>
    </w:p>
    <w:p w:rsidR="00961519" w:rsidRDefault="00961519" w:rsidP="00AB3BA1">
      <w:pPr>
        <w:spacing w:after="0" w:line="240" w:lineRule="auto"/>
        <w:ind w:firstLine="709"/>
        <w:jc w:val="both"/>
        <w:rPr>
          <w:rFonts w:ascii="Times New Roman" w:hAnsi="Times New Roman" w:cs="Times New Roman"/>
          <w:i/>
          <w:color w:val="FF0000"/>
          <w:sz w:val="20"/>
          <w:szCs w:val="20"/>
          <w:lang w:val="uk-UA"/>
        </w:rPr>
      </w:pPr>
    </w:p>
    <w:p w:rsidR="00961519" w:rsidRDefault="00961519" w:rsidP="00AB3BA1">
      <w:pPr>
        <w:spacing w:after="0" w:line="240" w:lineRule="auto"/>
        <w:ind w:firstLine="709"/>
        <w:jc w:val="both"/>
        <w:rPr>
          <w:rFonts w:ascii="Times New Roman" w:hAnsi="Times New Roman" w:cs="Times New Roman"/>
          <w:i/>
          <w:color w:val="FF0000"/>
          <w:sz w:val="20"/>
          <w:szCs w:val="20"/>
          <w:lang w:val="uk-UA"/>
        </w:rPr>
      </w:pPr>
    </w:p>
    <w:p w:rsidR="00961519" w:rsidRDefault="00961519" w:rsidP="00AB3BA1">
      <w:pPr>
        <w:spacing w:after="0" w:line="240" w:lineRule="auto"/>
        <w:ind w:firstLine="709"/>
        <w:jc w:val="both"/>
        <w:rPr>
          <w:rFonts w:ascii="Times New Roman" w:hAnsi="Times New Roman" w:cs="Times New Roman"/>
          <w:i/>
          <w:color w:val="FF0000"/>
          <w:sz w:val="20"/>
          <w:szCs w:val="20"/>
          <w:lang w:val="uk-UA"/>
        </w:rPr>
      </w:pPr>
    </w:p>
    <w:p w:rsidR="00AB3BA1" w:rsidRDefault="00AB3BA1" w:rsidP="00085F2F">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Центром соціальної реабілітації дітей-інвалідів надаються реабілітаційні послуги дітям з інвалідністю</w:t>
      </w:r>
      <w:r w:rsidR="007161A2">
        <w:rPr>
          <w:rFonts w:ascii="Times New Roman" w:hAnsi="Times New Roman" w:cs="Times New Roman"/>
          <w:sz w:val="28"/>
          <w:szCs w:val="28"/>
          <w:lang w:val="uk-UA"/>
        </w:rPr>
        <w:t>.</w:t>
      </w:r>
      <w:r>
        <w:rPr>
          <w:rFonts w:ascii="Times New Roman" w:hAnsi="Times New Roman" w:cs="Times New Roman"/>
          <w:sz w:val="28"/>
          <w:szCs w:val="28"/>
          <w:lang w:val="uk-UA"/>
        </w:rPr>
        <w:t xml:space="preserve"> </w:t>
      </w:r>
    </w:p>
    <w:p w:rsidR="00AB3BA1" w:rsidRPr="00F05177" w:rsidRDefault="00AB3BA1" w:rsidP="00AB3BA1">
      <w:pPr>
        <w:spacing w:after="0" w:line="240" w:lineRule="auto"/>
        <w:ind w:firstLine="709"/>
        <w:jc w:val="both"/>
        <w:rPr>
          <w:rFonts w:ascii="Times New Roman" w:hAnsi="Times New Roman" w:cs="Times New Roman"/>
          <w:i/>
          <w:color w:val="FF0000"/>
          <w:sz w:val="28"/>
          <w:szCs w:val="28"/>
          <w:lang w:val="uk-UA"/>
        </w:rPr>
      </w:pPr>
    </w:p>
    <w:p w:rsidR="00AB3BA1" w:rsidRDefault="00AB3BA1" w:rsidP="00AB3BA1">
      <w:pPr>
        <w:spacing w:after="0" w:line="240" w:lineRule="auto"/>
        <w:rPr>
          <w:rFonts w:ascii="Times New Roman" w:hAnsi="Times New Roman" w:cs="Times New Roman"/>
          <w:sz w:val="28"/>
          <w:szCs w:val="28"/>
          <w:lang w:val="uk-UA"/>
        </w:rPr>
      </w:pPr>
      <w:r w:rsidRPr="003E1C5B">
        <w:rPr>
          <w:rFonts w:ascii="Times New Roman" w:hAnsi="Times New Roman" w:cs="Times New Roman"/>
          <w:noProof/>
          <w:sz w:val="28"/>
          <w:szCs w:val="28"/>
          <w:lang w:eastAsia="ru-RU"/>
        </w:rPr>
        <w:drawing>
          <wp:inline distT="0" distB="0" distL="0" distR="0">
            <wp:extent cx="5495925" cy="2152650"/>
            <wp:effectExtent l="19050" t="0" r="0" b="0"/>
            <wp:docPr id="15"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AB3BA1" w:rsidRDefault="00AB3BA1" w:rsidP="00AB3BA1">
      <w:pPr>
        <w:spacing w:after="0" w:line="240" w:lineRule="auto"/>
        <w:rPr>
          <w:rFonts w:ascii="Times New Roman" w:hAnsi="Times New Roman" w:cs="Times New Roman"/>
          <w:sz w:val="28"/>
          <w:szCs w:val="28"/>
          <w:lang w:val="uk-UA"/>
        </w:rPr>
      </w:pPr>
    </w:p>
    <w:p w:rsidR="00AB3BA1" w:rsidRDefault="00AB3BA1" w:rsidP="004C6802">
      <w:pPr>
        <w:spacing w:after="0" w:line="240" w:lineRule="auto"/>
        <w:jc w:val="center"/>
        <w:rPr>
          <w:rFonts w:ascii="Times New Roman" w:hAnsi="Times New Roman" w:cs="Times New Roman"/>
          <w:sz w:val="28"/>
          <w:szCs w:val="28"/>
          <w:lang w:val="uk-UA"/>
        </w:rPr>
      </w:pPr>
      <w:r w:rsidRPr="00276D32">
        <w:rPr>
          <w:rFonts w:ascii="Times New Roman" w:hAnsi="Times New Roman" w:cs="Times New Roman"/>
          <w:noProof/>
          <w:sz w:val="28"/>
          <w:szCs w:val="28"/>
          <w:lang w:eastAsia="ru-RU"/>
        </w:rPr>
        <w:drawing>
          <wp:inline distT="0" distB="0" distL="0" distR="0">
            <wp:extent cx="4248150" cy="1952625"/>
            <wp:effectExtent l="19050" t="0" r="0" b="0"/>
            <wp:docPr id="1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AB3BA1" w:rsidRDefault="00AB3BA1" w:rsidP="00AB3BA1">
      <w:pPr>
        <w:spacing w:after="0" w:line="240" w:lineRule="auto"/>
        <w:rPr>
          <w:rFonts w:ascii="Times New Roman" w:hAnsi="Times New Roman" w:cs="Times New Roman"/>
          <w:sz w:val="28"/>
          <w:szCs w:val="28"/>
          <w:lang w:val="uk-UA"/>
        </w:rPr>
      </w:pPr>
    </w:p>
    <w:p w:rsidR="00676005" w:rsidRDefault="00676005" w:rsidP="00085F2F">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Благодійна</w:t>
      </w:r>
      <w:r w:rsidR="00AB3BA1">
        <w:rPr>
          <w:rFonts w:ascii="Times New Roman" w:hAnsi="Times New Roman" w:cs="Times New Roman"/>
          <w:sz w:val="28"/>
          <w:szCs w:val="28"/>
          <w:lang w:val="uk-UA"/>
        </w:rPr>
        <w:t xml:space="preserve"> організація «Міський центр обліку бездомних осіб» </w:t>
      </w:r>
      <w:r>
        <w:rPr>
          <w:rFonts w:ascii="Times New Roman" w:hAnsi="Times New Roman" w:cs="Times New Roman"/>
          <w:sz w:val="28"/>
          <w:szCs w:val="28"/>
          <w:lang w:val="uk-UA"/>
        </w:rPr>
        <w:t xml:space="preserve">разом з Комплексним закладом для осіб, які опинилися в складних життєвих обставинах, надають допомогу у вирішенні проблем бездомним громадянам міста. Так, з метою виявлення та обліку безпритульних осіб здійснюється соціальне патрулювання місць скупчення людей (ринки, вокзали та інші). </w:t>
      </w:r>
    </w:p>
    <w:p w:rsidR="00676005" w:rsidRDefault="00676005" w:rsidP="00085F2F">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Безпритульні особи отримують послуги з тимчасової реєстрації, гарячого харчування, санітарно-гігієнічні послуги та допомогу з медичного обстеження та реабілітації, послуги щодо влаштування на роботу.</w:t>
      </w:r>
    </w:p>
    <w:p w:rsidR="00AB3BA1" w:rsidRDefault="00AB3BA1" w:rsidP="00AB3BA1">
      <w:pPr>
        <w:spacing w:after="0" w:line="240" w:lineRule="auto"/>
        <w:ind w:hanging="567"/>
        <w:jc w:val="both"/>
        <w:rPr>
          <w:rFonts w:ascii="Times New Roman" w:hAnsi="Times New Roman" w:cs="Times New Roman"/>
          <w:sz w:val="28"/>
          <w:szCs w:val="28"/>
          <w:lang w:val="uk-UA"/>
        </w:rPr>
      </w:pPr>
      <w:r w:rsidRPr="00276D32">
        <w:rPr>
          <w:rFonts w:ascii="Times New Roman" w:hAnsi="Times New Roman" w:cs="Times New Roman"/>
          <w:noProof/>
          <w:sz w:val="28"/>
          <w:szCs w:val="28"/>
          <w:lang w:eastAsia="ru-RU"/>
        </w:rPr>
        <w:lastRenderedPageBreak/>
        <w:drawing>
          <wp:inline distT="0" distB="0" distL="0" distR="0">
            <wp:extent cx="3181350" cy="2543175"/>
            <wp:effectExtent l="19050" t="0" r="0" b="0"/>
            <wp:docPr id="1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r w:rsidRPr="00D14273">
        <w:rPr>
          <w:rFonts w:ascii="Times New Roman" w:hAnsi="Times New Roman" w:cs="Times New Roman"/>
          <w:noProof/>
          <w:sz w:val="28"/>
          <w:szCs w:val="28"/>
          <w:lang w:eastAsia="ru-RU"/>
        </w:rPr>
        <w:drawing>
          <wp:inline distT="0" distB="0" distL="0" distR="0">
            <wp:extent cx="2961894" cy="2615184"/>
            <wp:effectExtent l="19050" t="0" r="0" b="0"/>
            <wp:docPr id="18"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3C38E3" w:rsidRDefault="003C38E3" w:rsidP="00AB3BA1">
      <w:pPr>
        <w:spacing w:after="0" w:line="240" w:lineRule="auto"/>
        <w:ind w:hanging="567"/>
        <w:jc w:val="both"/>
        <w:rPr>
          <w:rFonts w:ascii="Times New Roman" w:hAnsi="Times New Roman" w:cs="Times New Roman"/>
          <w:sz w:val="28"/>
          <w:szCs w:val="28"/>
          <w:lang w:val="uk-UA"/>
        </w:rPr>
      </w:pPr>
      <w:r w:rsidRPr="003C38E3">
        <w:rPr>
          <w:rFonts w:ascii="Times New Roman" w:hAnsi="Times New Roman" w:cs="Times New Roman"/>
          <w:noProof/>
          <w:sz w:val="28"/>
          <w:szCs w:val="28"/>
          <w:lang w:eastAsia="ru-RU"/>
        </w:rPr>
        <w:drawing>
          <wp:inline distT="0" distB="0" distL="0" distR="0">
            <wp:extent cx="2718435" cy="2103120"/>
            <wp:effectExtent l="19050" t="0" r="5715" b="0"/>
            <wp:docPr id="11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r w:rsidRPr="003E0AC4">
        <w:rPr>
          <w:rFonts w:ascii="Times New Roman" w:hAnsi="Times New Roman" w:cs="Times New Roman"/>
          <w:noProof/>
          <w:color w:val="9BBB59" w:themeColor="accent3"/>
          <w:sz w:val="28"/>
          <w:szCs w:val="28"/>
          <w:lang w:val="uk-UA" w:eastAsia="ru-RU"/>
        </w:rPr>
        <w:t xml:space="preserve"> </w:t>
      </w:r>
      <w:r w:rsidRPr="003C38E3">
        <w:rPr>
          <w:rFonts w:ascii="Times New Roman" w:hAnsi="Times New Roman" w:cs="Times New Roman"/>
          <w:noProof/>
          <w:sz w:val="28"/>
          <w:szCs w:val="28"/>
          <w:lang w:eastAsia="ru-RU"/>
        </w:rPr>
        <w:drawing>
          <wp:inline distT="0" distB="0" distL="0" distR="0">
            <wp:extent cx="3108198" cy="1926336"/>
            <wp:effectExtent l="19050" t="0" r="0" b="0"/>
            <wp:docPr id="119"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AB3BA1" w:rsidRDefault="00AB3BA1" w:rsidP="003C38E3">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Проведення антитерористичної операції зумовлює значне збільшення кількості сімей, які опинилися в складних життєвих обставинах, зниження їх життєвого рівня та ускладнення морально-психологічного стану.</w:t>
      </w:r>
    </w:p>
    <w:p w:rsidR="00AB3BA1" w:rsidRDefault="00AB3BA1" w:rsidP="00AB3BA1">
      <w:pPr>
        <w:spacing w:after="0" w:line="240" w:lineRule="auto"/>
        <w:jc w:val="center"/>
        <w:rPr>
          <w:rFonts w:ascii="Times New Roman" w:hAnsi="Times New Roman" w:cs="Times New Roman"/>
          <w:color w:val="FF0000"/>
          <w:sz w:val="28"/>
          <w:szCs w:val="28"/>
          <w:lang w:val="uk-UA"/>
        </w:rPr>
      </w:pPr>
      <w:r w:rsidRPr="007C38A4">
        <w:rPr>
          <w:rFonts w:ascii="Times New Roman" w:hAnsi="Times New Roman" w:cs="Times New Roman"/>
          <w:noProof/>
          <w:color w:val="FF0000"/>
          <w:sz w:val="28"/>
          <w:szCs w:val="28"/>
          <w:lang w:eastAsia="ru-RU"/>
        </w:rPr>
        <w:drawing>
          <wp:inline distT="0" distB="0" distL="0" distR="0">
            <wp:extent cx="5734050" cy="3267075"/>
            <wp:effectExtent l="19050" t="0" r="0" b="0"/>
            <wp:docPr id="23"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AB3BA1" w:rsidRDefault="00AB3BA1" w:rsidP="00AB3BA1">
      <w:pPr>
        <w:spacing w:after="0" w:line="240" w:lineRule="auto"/>
        <w:ind w:hanging="284"/>
        <w:rPr>
          <w:rFonts w:ascii="Times New Roman" w:hAnsi="Times New Roman" w:cs="Times New Roman"/>
          <w:color w:val="FF0000"/>
          <w:sz w:val="28"/>
          <w:szCs w:val="28"/>
          <w:lang w:val="uk-UA"/>
        </w:rPr>
      </w:pPr>
      <w:r w:rsidRPr="00F73566">
        <w:rPr>
          <w:rFonts w:ascii="Times New Roman" w:hAnsi="Times New Roman" w:cs="Times New Roman"/>
          <w:noProof/>
          <w:color w:val="FF0000"/>
          <w:sz w:val="28"/>
          <w:szCs w:val="28"/>
          <w:lang w:eastAsia="ru-RU"/>
        </w:rPr>
        <w:lastRenderedPageBreak/>
        <w:drawing>
          <wp:inline distT="0" distB="0" distL="0" distR="0">
            <wp:extent cx="2952750" cy="2190750"/>
            <wp:effectExtent l="19050" t="0" r="0" b="0"/>
            <wp:docPr id="24"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r>
        <w:rPr>
          <w:rFonts w:ascii="Times New Roman" w:hAnsi="Times New Roman" w:cs="Times New Roman"/>
          <w:color w:val="FF0000"/>
          <w:sz w:val="28"/>
          <w:szCs w:val="28"/>
          <w:lang w:val="uk-UA"/>
        </w:rPr>
        <w:t xml:space="preserve">  </w:t>
      </w:r>
      <w:r w:rsidRPr="00F73566">
        <w:rPr>
          <w:rFonts w:ascii="Times New Roman" w:hAnsi="Times New Roman" w:cs="Times New Roman"/>
          <w:noProof/>
          <w:color w:val="FF0000"/>
          <w:sz w:val="28"/>
          <w:szCs w:val="28"/>
          <w:lang w:eastAsia="ru-RU"/>
        </w:rPr>
        <w:drawing>
          <wp:inline distT="0" distB="0" distL="0" distR="0">
            <wp:extent cx="2886075" cy="2190750"/>
            <wp:effectExtent l="19050" t="0" r="0" b="0"/>
            <wp:docPr id="25"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AB3BA1" w:rsidRDefault="00AB3BA1" w:rsidP="00AB3BA1">
      <w:pPr>
        <w:spacing w:after="0" w:line="240" w:lineRule="auto"/>
        <w:ind w:hanging="284"/>
        <w:rPr>
          <w:rFonts w:ascii="Times New Roman" w:hAnsi="Times New Roman" w:cs="Times New Roman"/>
          <w:color w:val="FF0000"/>
          <w:sz w:val="28"/>
          <w:szCs w:val="28"/>
          <w:lang w:val="uk-UA"/>
        </w:rPr>
      </w:pPr>
    </w:p>
    <w:p w:rsidR="00AB3BA1" w:rsidRPr="00975630" w:rsidRDefault="00AB3BA1" w:rsidP="00AB3BA1">
      <w:pPr>
        <w:spacing w:after="0" w:line="240" w:lineRule="auto"/>
        <w:ind w:firstLine="709"/>
        <w:jc w:val="both"/>
        <w:rPr>
          <w:rFonts w:ascii="Times New Roman" w:hAnsi="Times New Roman" w:cs="Times New Roman"/>
          <w:color w:val="000000" w:themeColor="text1"/>
          <w:sz w:val="28"/>
          <w:szCs w:val="28"/>
          <w:lang w:val="uk-UA"/>
        </w:rPr>
      </w:pPr>
      <w:r w:rsidRPr="00975630">
        <w:rPr>
          <w:rFonts w:ascii="Times New Roman" w:hAnsi="Times New Roman" w:cs="Times New Roman"/>
          <w:color w:val="000000" w:themeColor="text1"/>
          <w:sz w:val="28"/>
          <w:szCs w:val="28"/>
          <w:lang w:val="uk-UA"/>
        </w:rPr>
        <w:t>Збільшується кількість звернень громадян міста, які потребують окремих видів соціальних послуг, матеріальної допомоги, в т.ч. на лікування, для вирішення питань, пов’язаних із складними життєвими обставинами.</w:t>
      </w:r>
    </w:p>
    <w:p w:rsidR="00AB3BA1" w:rsidRDefault="00AB3BA1" w:rsidP="007161A2">
      <w:pPr>
        <w:spacing w:after="0" w:line="240" w:lineRule="auto"/>
        <w:jc w:val="both"/>
        <w:rPr>
          <w:rFonts w:ascii="Times New Roman" w:hAnsi="Times New Roman" w:cs="Times New Roman"/>
          <w:color w:val="000000" w:themeColor="text1"/>
          <w:sz w:val="28"/>
          <w:szCs w:val="28"/>
          <w:lang w:val="uk-UA"/>
        </w:rPr>
      </w:pPr>
      <w:r>
        <w:rPr>
          <w:rFonts w:ascii="Times New Roman" w:hAnsi="Times New Roman" w:cs="Times New Roman"/>
          <w:sz w:val="28"/>
          <w:szCs w:val="28"/>
          <w:lang w:val="uk-UA"/>
        </w:rPr>
        <w:tab/>
      </w:r>
      <w:r w:rsidRPr="00082DCD">
        <w:rPr>
          <w:rFonts w:ascii="Times New Roman" w:hAnsi="Times New Roman" w:cs="Times New Roman"/>
          <w:color w:val="000000" w:themeColor="text1"/>
          <w:sz w:val="28"/>
          <w:szCs w:val="28"/>
          <w:lang w:val="uk-UA"/>
        </w:rPr>
        <w:t>Спостерігається тенденція щодо збільшення кількості домогосподарств, яким призначені субсидії на відшкодування оплати житлово-комунальних послуг.</w:t>
      </w:r>
    </w:p>
    <w:p w:rsidR="009A7E3E" w:rsidRPr="00082DCD" w:rsidRDefault="009A7E3E" w:rsidP="007161A2">
      <w:pPr>
        <w:spacing w:after="0" w:line="240" w:lineRule="auto"/>
        <w:jc w:val="both"/>
        <w:rPr>
          <w:rFonts w:ascii="Times New Roman" w:hAnsi="Times New Roman" w:cs="Times New Roman"/>
          <w:color w:val="000000" w:themeColor="text1"/>
          <w:sz w:val="28"/>
          <w:szCs w:val="28"/>
          <w:lang w:val="uk-UA"/>
        </w:rPr>
      </w:pPr>
    </w:p>
    <w:p w:rsidR="00AB3BA1" w:rsidRPr="005B6AEB" w:rsidRDefault="00AB3BA1" w:rsidP="00AB3BA1">
      <w:pPr>
        <w:jc w:val="center"/>
        <w:rPr>
          <w:rFonts w:ascii="Times New Roman" w:hAnsi="Times New Roman" w:cs="Times New Roman"/>
          <w:color w:val="FF0000"/>
          <w:sz w:val="28"/>
          <w:szCs w:val="28"/>
          <w:lang w:val="uk-UA"/>
        </w:rPr>
      </w:pPr>
      <w:r w:rsidRPr="00082DCD">
        <w:rPr>
          <w:rFonts w:ascii="Times New Roman" w:hAnsi="Times New Roman" w:cs="Times New Roman"/>
          <w:noProof/>
          <w:color w:val="FF0000"/>
          <w:sz w:val="28"/>
          <w:szCs w:val="28"/>
          <w:lang w:eastAsia="ru-RU"/>
        </w:rPr>
        <w:drawing>
          <wp:inline distT="0" distB="0" distL="0" distR="0">
            <wp:extent cx="4914900" cy="2638425"/>
            <wp:effectExtent l="0" t="0" r="0" b="0"/>
            <wp:docPr id="2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AB3BA1" w:rsidRDefault="00AB3BA1" w:rsidP="00F00BCE">
      <w:pPr>
        <w:spacing w:after="0" w:line="240" w:lineRule="auto"/>
        <w:ind w:firstLine="567"/>
        <w:rPr>
          <w:rFonts w:ascii="Times New Roman" w:hAnsi="Times New Roman" w:cs="Times New Roman"/>
          <w:sz w:val="28"/>
          <w:szCs w:val="28"/>
          <w:lang w:val="uk-UA"/>
        </w:rPr>
      </w:pPr>
      <w:r>
        <w:rPr>
          <w:rFonts w:ascii="Times New Roman" w:hAnsi="Times New Roman" w:cs="Times New Roman"/>
          <w:sz w:val="28"/>
          <w:szCs w:val="28"/>
          <w:lang w:val="uk-UA"/>
        </w:rPr>
        <w:t>Проблемними питаннями залишаються:</w:t>
      </w:r>
    </w:p>
    <w:p w:rsidR="00AB3BA1" w:rsidRPr="00E17C03" w:rsidRDefault="00AB3BA1" w:rsidP="00085F2F">
      <w:pPr>
        <w:pStyle w:val="a3"/>
        <w:numPr>
          <w:ilvl w:val="0"/>
          <w:numId w:val="5"/>
        </w:numPr>
        <w:spacing w:after="0" w:line="240" w:lineRule="auto"/>
        <w:ind w:left="1134" w:hanging="425"/>
        <w:jc w:val="both"/>
        <w:rPr>
          <w:rFonts w:ascii="Times New Roman" w:hAnsi="Times New Roman" w:cs="Times New Roman"/>
          <w:color w:val="000000" w:themeColor="text1"/>
          <w:sz w:val="28"/>
          <w:szCs w:val="28"/>
          <w:lang w:val="uk-UA"/>
        </w:rPr>
      </w:pPr>
      <w:r w:rsidRPr="00E17C03">
        <w:rPr>
          <w:rFonts w:ascii="Times New Roman" w:hAnsi="Times New Roman" w:cs="Times New Roman"/>
          <w:color w:val="000000" w:themeColor="text1"/>
          <w:sz w:val="28"/>
          <w:szCs w:val="28"/>
          <w:lang w:val="uk-UA"/>
        </w:rPr>
        <w:t>збільшення кількості громадян міста, які потребують окремих видів соціальних послуг, матеріальної допомоги для вирішення питань, пов’язаних із складними життєвими обставинами;</w:t>
      </w:r>
    </w:p>
    <w:p w:rsidR="00AB3BA1" w:rsidRDefault="00AB3BA1" w:rsidP="00085F2F">
      <w:pPr>
        <w:pStyle w:val="a3"/>
        <w:numPr>
          <w:ilvl w:val="0"/>
          <w:numId w:val="5"/>
        </w:numPr>
        <w:spacing w:after="0" w:line="240" w:lineRule="auto"/>
        <w:ind w:left="1134" w:hanging="425"/>
        <w:jc w:val="both"/>
        <w:rPr>
          <w:rFonts w:ascii="Times New Roman" w:hAnsi="Times New Roman" w:cs="Times New Roman"/>
          <w:sz w:val="28"/>
          <w:szCs w:val="28"/>
          <w:lang w:val="uk-UA"/>
        </w:rPr>
      </w:pPr>
      <w:r>
        <w:rPr>
          <w:rFonts w:ascii="Times New Roman" w:hAnsi="Times New Roman" w:cs="Times New Roman"/>
          <w:sz w:val="28"/>
          <w:szCs w:val="28"/>
          <w:lang w:val="uk-UA"/>
        </w:rPr>
        <w:t>недостатній рівень охоплення реабілітаційними послугами дітей-інвалідів;</w:t>
      </w:r>
    </w:p>
    <w:p w:rsidR="00AB3BA1" w:rsidRDefault="00AB3BA1" w:rsidP="00085F2F">
      <w:pPr>
        <w:pStyle w:val="a3"/>
        <w:numPr>
          <w:ilvl w:val="0"/>
          <w:numId w:val="5"/>
        </w:numPr>
        <w:spacing w:after="0" w:line="240" w:lineRule="auto"/>
        <w:ind w:left="1134" w:hanging="425"/>
        <w:jc w:val="both"/>
        <w:rPr>
          <w:rFonts w:ascii="Times New Roman" w:hAnsi="Times New Roman" w:cs="Times New Roman"/>
          <w:sz w:val="28"/>
          <w:szCs w:val="28"/>
          <w:lang w:val="uk-UA"/>
        </w:rPr>
      </w:pPr>
      <w:r>
        <w:rPr>
          <w:rFonts w:ascii="Times New Roman" w:hAnsi="Times New Roman" w:cs="Times New Roman"/>
          <w:sz w:val="28"/>
          <w:szCs w:val="28"/>
          <w:lang w:val="uk-UA"/>
        </w:rPr>
        <w:t>недостатній рівень  охоплення соціальними послугами бездомних громадян;</w:t>
      </w:r>
    </w:p>
    <w:p w:rsidR="00AB3BA1" w:rsidRPr="00ED3A77" w:rsidRDefault="00AB3BA1" w:rsidP="00085F2F">
      <w:pPr>
        <w:pStyle w:val="a3"/>
        <w:numPr>
          <w:ilvl w:val="0"/>
          <w:numId w:val="5"/>
        </w:numPr>
        <w:spacing w:after="0" w:line="240" w:lineRule="auto"/>
        <w:ind w:left="1134" w:hanging="425"/>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недостатній рівень запровадження інноваційних підходів до надання соціальних послуг та залучення недержавних суб’</w:t>
      </w:r>
      <w:r w:rsidRPr="00ED3A77">
        <w:rPr>
          <w:rFonts w:ascii="Times New Roman" w:hAnsi="Times New Roman" w:cs="Times New Roman"/>
          <w:sz w:val="28"/>
          <w:szCs w:val="28"/>
          <w:lang w:val="uk-UA"/>
        </w:rPr>
        <w:t>єктів, які надають соціальні послуги;</w:t>
      </w:r>
    </w:p>
    <w:p w:rsidR="00AB3BA1" w:rsidRDefault="00AB3BA1" w:rsidP="00085F2F">
      <w:pPr>
        <w:pStyle w:val="a3"/>
        <w:numPr>
          <w:ilvl w:val="0"/>
          <w:numId w:val="5"/>
        </w:numPr>
        <w:spacing w:after="0" w:line="240" w:lineRule="auto"/>
        <w:ind w:left="1134" w:hanging="425"/>
        <w:jc w:val="both"/>
        <w:rPr>
          <w:rFonts w:ascii="Times New Roman" w:hAnsi="Times New Roman" w:cs="Times New Roman"/>
          <w:sz w:val="28"/>
          <w:szCs w:val="28"/>
          <w:lang w:val="uk-UA"/>
        </w:rPr>
      </w:pPr>
      <w:r>
        <w:rPr>
          <w:rFonts w:ascii="Times New Roman" w:hAnsi="Times New Roman" w:cs="Times New Roman"/>
          <w:sz w:val="28"/>
          <w:szCs w:val="28"/>
          <w:lang w:val="uk-UA"/>
        </w:rPr>
        <w:t>наявність бар’</w:t>
      </w:r>
      <w:r w:rsidRPr="00ED3A77">
        <w:rPr>
          <w:rFonts w:ascii="Times New Roman" w:hAnsi="Times New Roman" w:cs="Times New Roman"/>
          <w:sz w:val="28"/>
          <w:szCs w:val="28"/>
        </w:rPr>
        <w:t>єрів,</w:t>
      </w:r>
      <w:r>
        <w:rPr>
          <w:rFonts w:ascii="Times New Roman" w:hAnsi="Times New Roman" w:cs="Times New Roman"/>
          <w:sz w:val="28"/>
          <w:szCs w:val="28"/>
          <w:lang w:val="uk-UA"/>
        </w:rPr>
        <w:t xml:space="preserve"> що не дозволяють </w:t>
      </w:r>
      <w:r w:rsidR="00945417">
        <w:rPr>
          <w:rFonts w:ascii="Times New Roman" w:hAnsi="Times New Roman" w:cs="Times New Roman"/>
          <w:sz w:val="28"/>
          <w:szCs w:val="28"/>
          <w:lang w:val="uk-UA"/>
        </w:rPr>
        <w:t>людям з інвалідністю</w:t>
      </w:r>
      <w:r>
        <w:rPr>
          <w:rFonts w:ascii="Times New Roman" w:hAnsi="Times New Roman" w:cs="Times New Roman"/>
          <w:sz w:val="28"/>
          <w:szCs w:val="28"/>
          <w:lang w:val="uk-UA"/>
        </w:rPr>
        <w:t xml:space="preserve"> активно залучатись до життя суспільства й пов</w:t>
      </w:r>
      <w:r w:rsidR="007161A2">
        <w:rPr>
          <w:rFonts w:ascii="Times New Roman" w:hAnsi="Times New Roman" w:cs="Times New Roman"/>
          <w:sz w:val="28"/>
          <w:szCs w:val="28"/>
          <w:lang w:val="uk-UA"/>
        </w:rPr>
        <w:t>ноцінно приймати участь у ньому;</w:t>
      </w:r>
    </w:p>
    <w:p w:rsidR="00AB3BA1" w:rsidRPr="00476994" w:rsidRDefault="00AB3BA1" w:rsidP="00085F2F">
      <w:pPr>
        <w:pStyle w:val="a3"/>
        <w:numPr>
          <w:ilvl w:val="0"/>
          <w:numId w:val="5"/>
        </w:numPr>
        <w:spacing w:after="0" w:line="240" w:lineRule="auto"/>
        <w:ind w:left="1134" w:hanging="425"/>
        <w:jc w:val="both"/>
        <w:rPr>
          <w:rFonts w:ascii="Times New Roman" w:hAnsi="Times New Roman" w:cs="Times New Roman"/>
          <w:color w:val="000000" w:themeColor="text1"/>
          <w:sz w:val="28"/>
          <w:szCs w:val="28"/>
          <w:lang w:val="uk-UA"/>
        </w:rPr>
      </w:pPr>
      <w:r w:rsidRPr="00476994">
        <w:rPr>
          <w:rFonts w:ascii="Times New Roman" w:hAnsi="Times New Roman" w:cs="Times New Roman"/>
          <w:color w:val="000000" w:themeColor="text1"/>
          <w:sz w:val="28"/>
          <w:szCs w:val="28"/>
          <w:lang w:val="uk-UA"/>
        </w:rPr>
        <w:t>наявність заборгованості по виплатам пільг та компенсацій, що гарантовані державою.</w:t>
      </w:r>
    </w:p>
    <w:p w:rsidR="004A48E6" w:rsidRDefault="004A48E6" w:rsidP="00923F17">
      <w:pPr>
        <w:tabs>
          <w:tab w:val="left" w:pos="0"/>
        </w:tabs>
        <w:spacing w:after="0" w:line="240" w:lineRule="auto"/>
        <w:jc w:val="both"/>
        <w:rPr>
          <w:rFonts w:ascii="Times New Roman" w:hAnsi="Times New Roman" w:cs="Times New Roman"/>
          <w:b/>
          <w:color w:val="000000" w:themeColor="text1"/>
          <w:sz w:val="28"/>
          <w:szCs w:val="28"/>
          <w:lang w:val="uk-UA"/>
        </w:rPr>
      </w:pPr>
    </w:p>
    <w:p w:rsidR="00E82D12" w:rsidRPr="002C03F9" w:rsidRDefault="00E82D12" w:rsidP="00E82D12">
      <w:pPr>
        <w:jc w:val="both"/>
        <w:rPr>
          <w:rFonts w:ascii="Times New Roman" w:hAnsi="Times New Roman" w:cs="Times New Roman"/>
          <w:b/>
          <w:sz w:val="28"/>
          <w:szCs w:val="28"/>
        </w:rPr>
      </w:pPr>
      <w:r w:rsidRPr="00651FD8">
        <w:rPr>
          <w:rFonts w:ascii="Times New Roman" w:hAnsi="Times New Roman" w:cs="Times New Roman"/>
          <w:b/>
          <w:sz w:val="28"/>
          <w:szCs w:val="28"/>
        </w:rPr>
        <w:t>Охорона здоров</w:t>
      </w:r>
      <w:r w:rsidRPr="002C03F9">
        <w:rPr>
          <w:rFonts w:ascii="Times New Roman" w:hAnsi="Times New Roman" w:cs="Times New Roman"/>
          <w:b/>
          <w:sz w:val="28"/>
          <w:szCs w:val="28"/>
        </w:rPr>
        <w:t>’</w:t>
      </w:r>
      <w:r w:rsidRPr="00651FD8">
        <w:rPr>
          <w:rFonts w:ascii="Times New Roman" w:hAnsi="Times New Roman" w:cs="Times New Roman"/>
          <w:b/>
          <w:sz w:val="28"/>
          <w:szCs w:val="28"/>
        </w:rPr>
        <w:t>я</w:t>
      </w:r>
    </w:p>
    <w:p w:rsidR="00E82D12" w:rsidRPr="0017472D" w:rsidRDefault="00E82D12" w:rsidP="00085F2F">
      <w:pPr>
        <w:spacing w:after="0" w:line="240" w:lineRule="auto"/>
        <w:ind w:firstLine="567"/>
        <w:jc w:val="both"/>
        <w:rPr>
          <w:rFonts w:ascii="Times New Roman" w:hAnsi="Times New Roman" w:cs="Times New Roman"/>
          <w:color w:val="FF0000"/>
          <w:sz w:val="28"/>
          <w:szCs w:val="28"/>
          <w:lang w:val="uk-UA"/>
        </w:rPr>
      </w:pPr>
      <w:r>
        <w:rPr>
          <w:rFonts w:ascii="Times New Roman" w:hAnsi="Times New Roman" w:cs="Times New Roman"/>
          <w:sz w:val="28"/>
          <w:szCs w:val="28"/>
          <w:lang w:val="uk-UA"/>
        </w:rPr>
        <w:t>В місті існує розгалужена мережа закладів охорони здоров’</w:t>
      </w:r>
      <w:r w:rsidRPr="00BA29DC">
        <w:rPr>
          <w:rFonts w:ascii="Times New Roman" w:hAnsi="Times New Roman" w:cs="Times New Roman"/>
          <w:sz w:val="28"/>
          <w:szCs w:val="28"/>
          <w:lang w:val="uk-UA"/>
        </w:rPr>
        <w:t>я</w:t>
      </w:r>
      <w:r>
        <w:rPr>
          <w:rFonts w:ascii="Times New Roman" w:hAnsi="Times New Roman" w:cs="Times New Roman"/>
          <w:sz w:val="28"/>
          <w:szCs w:val="28"/>
          <w:lang w:val="uk-UA"/>
        </w:rPr>
        <w:t xml:space="preserve"> різних форм власності. </w:t>
      </w:r>
    </w:p>
    <w:p w:rsidR="00E82D12" w:rsidRDefault="00E82D12" w:rsidP="00E82D12">
      <w:pPr>
        <w:spacing w:after="0" w:line="240" w:lineRule="auto"/>
        <w:jc w:val="both"/>
        <w:rPr>
          <w:rFonts w:ascii="Times New Roman" w:hAnsi="Times New Roman" w:cs="Times New Roman"/>
          <w:sz w:val="28"/>
          <w:szCs w:val="28"/>
          <w:lang w:val="uk-UA"/>
        </w:rPr>
      </w:pPr>
      <w:r w:rsidRPr="0017472D">
        <w:rPr>
          <w:rFonts w:ascii="Times New Roman" w:hAnsi="Times New Roman" w:cs="Times New Roman"/>
          <w:noProof/>
          <w:sz w:val="28"/>
          <w:szCs w:val="28"/>
          <w:lang w:eastAsia="ru-RU"/>
        </w:rPr>
        <w:drawing>
          <wp:inline distT="0" distB="0" distL="0" distR="0">
            <wp:extent cx="5869686" cy="2932176"/>
            <wp:effectExtent l="19050" t="0" r="0" b="0"/>
            <wp:docPr id="2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6E67C8" w:rsidRDefault="006E67C8" w:rsidP="00E82D12">
      <w:pPr>
        <w:spacing w:after="0" w:line="240" w:lineRule="auto"/>
        <w:jc w:val="both"/>
        <w:rPr>
          <w:rFonts w:ascii="Times New Roman" w:hAnsi="Times New Roman" w:cs="Times New Roman"/>
          <w:sz w:val="28"/>
          <w:szCs w:val="28"/>
          <w:lang w:val="uk-UA"/>
        </w:rPr>
      </w:pPr>
    </w:p>
    <w:p w:rsidR="006E67C8" w:rsidRDefault="006859A3" w:rsidP="006859A3">
      <w:pPr>
        <w:spacing w:after="0" w:line="240" w:lineRule="auto"/>
        <w:jc w:val="center"/>
        <w:rPr>
          <w:rFonts w:ascii="Times New Roman" w:hAnsi="Times New Roman" w:cs="Times New Roman"/>
          <w:sz w:val="28"/>
          <w:szCs w:val="28"/>
          <w:lang w:val="uk-UA"/>
        </w:rPr>
      </w:pPr>
      <w:r w:rsidRPr="006859A3">
        <w:rPr>
          <w:rFonts w:ascii="Times New Roman" w:hAnsi="Times New Roman" w:cs="Times New Roman"/>
          <w:noProof/>
          <w:sz w:val="28"/>
          <w:szCs w:val="28"/>
          <w:lang w:eastAsia="ru-RU"/>
        </w:rPr>
        <w:drawing>
          <wp:inline distT="0" distB="0" distL="0" distR="0">
            <wp:extent cx="3755136" cy="2170176"/>
            <wp:effectExtent l="0" t="0" r="0" b="0"/>
            <wp:docPr id="121"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897B5F" w:rsidRDefault="00897B5F" w:rsidP="00E82D12">
      <w:pPr>
        <w:spacing w:after="0" w:line="240" w:lineRule="auto"/>
        <w:rPr>
          <w:rFonts w:ascii="Times New Roman" w:hAnsi="Times New Roman" w:cs="Times New Roman"/>
          <w:sz w:val="28"/>
          <w:szCs w:val="28"/>
          <w:lang w:val="uk-UA"/>
        </w:rPr>
      </w:pPr>
    </w:p>
    <w:p w:rsidR="009A7E3E" w:rsidRDefault="009A7E3E" w:rsidP="00E82D12">
      <w:pPr>
        <w:spacing w:after="0" w:line="240" w:lineRule="auto"/>
        <w:rPr>
          <w:rFonts w:ascii="Times New Roman" w:hAnsi="Times New Roman" w:cs="Times New Roman"/>
          <w:sz w:val="28"/>
          <w:szCs w:val="28"/>
          <w:lang w:val="uk-UA"/>
        </w:rPr>
      </w:pPr>
    </w:p>
    <w:p w:rsidR="000A0FF6" w:rsidRDefault="000A0FF6" w:rsidP="000A0FF6">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Разом з тим, на фоні несприятливої соціально-економічної ситуації відбувається подальше погіршення стану здоров’</w:t>
      </w:r>
      <w:r w:rsidRPr="00237D2D">
        <w:rPr>
          <w:rFonts w:ascii="Times New Roman" w:hAnsi="Times New Roman" w:cs="Times New Roman"/>
          <w:sz w:val="28"/>
          <w:szCs w:val="28"/>
        </w:rPr>
        <w:t xml:space="preserve">я населення. </w:t>
      </w:r>
      <w:r>
        <w:rPr>
          <w:rFonts w:ascii="Times New Roman" w:hAnsi="Times New Roman" w:cs="Times New Roman"/>
          <w:sz w:val="28"/>
          <w:szCs w:val="28"/>
          <w:lang w:val="uk-UA"/>
        </w:rPr>
        <w:t xml:space="preserve">В усіх вікових групах зростають рівні захворюваності і поширеності хвороб, зокрема </w:t>
      </w:r>
      <w:r>
        <w:rPr>
          <w:rFonts w:ascii="Times New Roman" w:hAnsi="Times New Roman" w:cs="Times New Roman"/>
          <w:sz w:val="28"/>
          <w:szCs w:val="28"/>
          <w:lang w:val="uk-UA"/>
        </w:rPr>
        <w:lastRenderedPageBreak/>
        <w:t>хронічних неінфекційних захворювань, включаючи хвороби системи кровообігу, злоякісні новоутворення, хронічні обструктивні захворювання легень, цукровий діабет та інші</w:t>
      </w:r>
      <w:r w:rsidRPr="003E64E4">
        <w:rPr>
          <w:rFonts w:ascii="Times New Roman" w:hAnsi="Times New Roman" w:cs="Times New Roman"/>
          <w:sz w:val="28"/>
          <w:szCs w:val="28"/>
        </w:rPr>
        <w:t>.</w:t>
      </w:r>
      <w:r>
        <w:rPr>
          <w:rFonts w:ascii="Times New Roman" w:hAnsi="Times New Roman" w:cs="Times New Roman"/>
          <w:sz w:val="28"/>
          <w:szCs w:val="28"/>
          <w:lang w:val="uk-UA"/>
        </w:rPr>
        <w:t xml:space="preserve"> </w:t>
      </w:r>
    </w:p>
    <w:p w:rsidR="00C55745" w:rsidRDefault="00C55745" w:rsidP="009654DF">
      <w:pPr>
        <w:spacing w:after="0" w:line="240" w:lineRule="auto"/>
        <w:ind w:firstLine="567"/>
        <w:jc w:val="center"/>
        <w:rPr>
          <w:rFonts w:ascii="Times New Roman" w:hAnsi="Times New Roman" w:cs="Times New Roman"/>
          <w:sz w:val="28"/>
          <w:szCs w:val="28"/>
          <w:lang w:val="uk-UA"/>
        </w:rPr>
      </w:pPr>
      <w:r>
        <w:rPr>
          <w:noProof/>
          <w:lang w:eastAsia="ru-RU"/>
        </w:rPr>
        <w:drawing>
          <wp:inline distT="0" distB="0" distL="0" distR="0" wp14:anchorId="67860FA3" wp14:editId="736FB1A2">
            <wp:extent cx="4257675" cy="2066925"/>
            <wp:effectExtent l="0" t="0" r="0" b="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E82D12" w:rsidRPr="00701771" w:rsidRDefault="00E82D12" w:rsidP="000A0FF6">
      <w:pPr>
        <w:spacing w:after="0" w:line="240" w:lineRule="auto"/>
        <w:jc w:val="center"/>
        <w:rPr>
          <w:rFonts w:ascii="Times New Roman" w:hAnsi="Times New Roman" w:cs="Times New Roman"/>
          <w:sz w:val="28"/>
          <w:szCs w:val="28"/>
          <w:lang w:val="en-US"/>
        </w:rPr>
      </w:pPr>
    </w:p>
    <w:p w:rsidR="00E82D12" w:rsidRDefault="00E82D12" w:rsidP="00085F2F">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У структурі захворюваності населення міста традиційно перші місця займають хвороби органів дихання (45,0 %), травми та отруєння (11,3%).</w:t>
      </w:r>
    </w:p>
    <w:p w:rsidR="00764284" w:rsidRDefault="00764284" w:rsidP="00085F2F">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Упродовж останніх років у структурі причин смертності залишаються на перших місцях хвороби системи кровообігу, новоутворення, травми та отруєння</w:t>
      </w:r>
      <w:r w:rsidR="00076A22">
        <w:rPr>
          <w:rFonts w:ascii="Times New Roman" w:hAnsi="Times New Roman" w:cs="Times New Roman"/>
          <w:sz w:val="28"/>
          <w:szCs w:val="28"/>
          <w:lang w:val="uk-UA"/>
        </w:rPr>
        <w:t>.</w:t>
      </w:r>
      <w:r>
        <w:rPr>
          <w:rFonts w:ascii="Times New Roman" w:hAnsi="Times New Roman" w:cs="Times New Roman"/>
          <w:sz w:val="28"/>
          <w:szCs w:val="28"/>
          <w:lang w:val="uk-UA"/>
        </w:rPr>
        <w:t xml:space="preserve"> </w:t>
      </w:r>
    </w:p>
    <w:p w:rsidR="00764284" w:rsidRDefault="00764284" w:rsidP="00E82D12">
      <w:pPr>
        <w:spacing w:after="0" w:line="240" w:lineRule="auto"/>
        <w:ind w:firstLine="709"/>
        <w:jc w:val="both"/>
        <w:rPr>
          <w:rFonts w:ascii="Times New Roman" w:hAnsi="Times New Roman" w:cs="Times New Roman"/>
          <w:sz w:val="28"/>
          <w:szCs w:val="28"/>
          <w:lang w:val="uk-UA"/>
        </w:rPr>
      </w:pPr>
    </w:p>
    <w:p w:rsidR="00E82D12" w:rsidRPr="00701771" w:rsidRDefault="00E82D12" w:rsidP="00764284">
      <w:pPr>
        <w:spacing w:after="0" w:line="240" w:lineRule="auto"/>
        <w:ind w:hanging="426"/>
        <w:jc w:val="center"/>
        <w:rPr>
          <w:rFonts w:ascii="Times New Roman" w:hAnsi="Times New Roman" w:cs="Times New Roman"/>
          <w:color w:val="FF0000"/>
          <w:sz w:val="28"/>
          <w:szCs w:val="28"/>
          <w:lang w:val="uk-UA"/>
        </w:rPr>
      </w:pPr>
      <w:r>
        <w:rPr>
          <w:rFonts w:ascii="Times New Roman" w:hAnsi="Times New Roman" w:cs="Times New Roman"/>
          <w:noProof/>
          <w:color w:val="FF0000"/>
          <w:sz w:val="28"/>
          <w:szCs w:val="28"/>
          <w:lang w:eastAsia="ru-RU"/>
        </w:rPr>
        <w:drawing>
          <wp:inline distT="0" distB="0" distL="0" distR="0">
            <wp:extent cx="3971925" cy="2209800"/>
            <wp:effectExtent l="0" t="0" r="0" b="0"/>
            <wp:docPr id="30"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E82D12" w:rsidRPr="00AE60AB" w:rsidRDefault="00E82D12" w:rsidP="00764284">
      <w:pPr>
        <w:spacing w:after="0" w:line="240" w:lineRule="auto"/>
        <w:ind w:firstLine="567"/>
        <w:jc w:val="both"/>
        <w:rPr>
          <w:rFonts w:ascii="Times New Roman" w:hAnsi="Times New Roman" w:cs="Times New Roman"/>
          <w:i/>
          <w:sz w:val="28"/>
          <w:szCs w:val="28"/>
          <w:lang w:val="uk-UA"/>
        </w:rPr>
      </w:pPr>
      <w:r>
        <w:rPr>
          <w:rFonts w:ascii="Times New Roman" w:hAnsi="Times New Roman" w:cs="Times New Roman"/>
          <w:sz w:val="28"/>
          <w:szCs w:val="28"/>
          <w:lang w:val="uk-UA"/>
        </w:rPr>
        <w:t>Демографічна ситуація у м. Житомирі продовжує зазнавати негативних тенденцій</w:t>
      </w:r>
      <w:r w:rsidR="00F60B1B">
        <w:rPr>
          <w:rFonts w:ascii="Times New Roman" w:hAnsi="Times New Roman" w:cs="Times New Roman"/>
          <w:sz w:val="28"/>
          <w:szCs w:val="28"/>
          <w:lang w:val="uk-UA"/>
        </w:rPr>
        <w:t>.</w:t>
      </w:r>
      <w:r>
        <w:rPr>
          <w:rFonts w:ascii="Times New Roman" w:hAnsi="Times New Roman" w:cs="Times New Roman"/>
          <w:sz w:val="28"/>
          <w:szCs w:val="28"/>
          <w:lang w:val="uk-UA"/>
        </w:rPr>
        <w:t xml:space="preserve"> </w:t>
      </w:r>
    </w:p>
    <w:p w:rsidR="00E82D12" w:rsidRDefault="00E82D12" w:rsidP="00E82D12">
      <w:pPr>
        <w:spacing w:after="0" w:line="240" w:lineRule="auto"/>
        <w:jc w:val="center"/>
        <w:rPr>
          <w:rFonts w:ascii="Times New Roman" w:hAnsi="Times New Roman" w:cs="Times New Roman"/>
          <w:color w:val="FF0000"/>
          <w:sz w:val="28"/>
          <w:szCs w:val="28"/>
          <w:lang w:val="uk-UA"/>
        </w:rPr>
      </w:pPr>
      <w:r>
        <w:rPr>
          <w:rFonts w:ascii="Times New Roman" w:hAnsi="Times New Roman" w:cs="Times New Roman"/>
          <w:noProof/>
          <w:color w:val="FF0000"/>
          <w:sz w:val="28"/>
          <w:szCs w:val="28"/>
          <w:lang w:eastAsia="ru-RU"/>
        </w:rPr>
        <w:drawing>
          <wp:inline distT="0" distB="0" distL="0" distR="0">
            <wp:extent cx="5462270" cy="2162175"/>
            <wp:effectExtent l="0" t="0" r="0" b="0"/>
            <wp:docPr id="31"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E82D12" w:rsidRDefault="00E82D12" w:rsidP="00085F2F">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Проблемними питаннями </w:t>
      </w:r>
      <w:r w:rsidR="00C815EA">
        <w:rPr>
          <w:rFonts w:ascii="Times New Roman" w:hAnsi="Times New Roman" w:cs="Times New Roman"/>
          <w:sz w:val="28"/>
          <w:szCs w:val="28"/>
          <w:lang w:val="uk-UA"/>
        </w:rPr>
        <w:t xml:space="preserve">у сфері </w:t>
      </w:r>
      <w:r>
        <w:rPr>
          <w:rFonts w:ascii="Times New Roman" w:hAnsi="Times New Roman" w:cs="Times New Roman"/>
          <w:sz w:val="28"/>
          <w:szCs w:val="28"/>
          <w:lang w:val="uk-UA"/>
        </w:rPr>
        <w:t>охорони здоров’</w:t>
      </w:r>
      <w:r w:rsidRPr="00874871">
        <w:rPr>
          <w:rFonts w:ascii="Times New Roman" w:hAnsi="Times New Roman" w:cs="Times New Roman"/>
          <w:sz w:val="28"/>
          <w:szCs w:val="28"/>
        </w:rPr>
        <w:t xml:space="preserve">я </w:t>
      </w:r>
      <w:r>
        <w:rPr>
          <w:rFonts w:ascii="Times New Roman" w:hAnsi="Times New Roman" w:cs="Times New Roman"/>
          <w:sz w:val="28"/>
          <w:szCs w:val="28"/>
          <w:lang w:val="uk-UA"/>
        </w:rPr>
        <w:t>залишаються:</w:t>
      </w:r>
    </w:p>
    <w:p w:rsidR="00E82D12" w:rsidRPr="00254208" w:rsidRDefault="006644EB" w:rsidP="00085F2F">
      <w:pPr>
        <w:pStyle w:val="a3"/>
        <w:numPr>
          <w:ilvl w:val="0"/>
          <w:numId w:val="6"/>
        </w:numPr>
        <w:spacing w:after="0" w:line="240" w:lineRule="auto"/>
        <w:ind w:left="1134" w:hanging="425"/>
        <w:jc w:val="both"/>
        <w:rPr>
          <w:rFonts w:ascii="Times New Roman" w:hAnsi="Times New Roman" w:cs="Times New Roman"/>
          <w:sz w:val="28"/>
          <w:szCs w:val="28"/>
          <w:lang w:val="uk-UA"/>
        </w:rPr>
      </w:pPr>
      <w:r>
        <w:rPr>
          <w:rFonts w:ascii="Times New Roman" w:hAnsi="Times New Roman" w:cs="Times New Roman"/>
          <w:sz w:val="28"/>
          <w:szCs w:val="28"/>
          <w:lang w:val="uk-UA"/>
        </w:rPr>
        <w:t>низький рівень</w:t>
      </w:r>
      <w:r w:rsidR="00E82D12">
        <w:rPr>
          <w:rFonts w:ascii="Times New Roman" w:hAnsi="Times New Roman" w:cs="Times New Roman"/>
          <w:sz w:val="28"/>
          <w:szCs w:val="28"/>
          <w:lang w:val="uk-UA"/>
        </w:rPr>
        <w:t xml:space="preserve"> відповідальності за стан свого здоров’</w:t>
      </w:r>
      <w:r w:rsidR="00E82D12" w:rsidRPr="003E7E8E">
        <w:rPr>
          <w:rFonts w:ascii="Times New Roman" w:hAnsi="Times New Roman" w:cs="Times New Roman"/>
          <w:sz w:val="28"/>
          <w:szCs w:val="28"/>
        </w:rPr>
        <w:t>я,</w:t>
      </w:r>
      <w:r w:rsidR="00E82D12">
        <w:rPr>
          <w:rFonts w:ascii="Times New Roman" w:hAnsi="Times New Roman" w:cs="Times New Roman"/>
          <w:sz w:val="28"/>
          <w:szCs w:val="28"/>
          <w:lang w:val="uk-UA"/>
        </w:rPr>
        <w:t xml:space="preserve"> мотивації громадян щодо його збереження та ведення здорового способу життя;</w:t>
      </w:r>
    </w:p>
    <w:p w:rsidR="00E82D12" w:rsidRDefault="00E82D12" w:rsidP="00085F2F">
      <w:pPr>
        <w:pStyle w:val="a3"/>
        <w:numPr>
          <w:ilvl w:val="0"/>
          <w:numId w:val="6"/>
        </w:numPr>
        <w:spacing w:after="0" w:line="240" w:lineRule="auto"/>
        <w:ind w:left="1134" w:hanging="425"/>
        <w:jc w:val="both"/>
        <w:rPr>
          <w:rFonts w:ascii="Times New Roman" w:hAnsi="Times New Roman" w:cs="Times New Roman"/>
          <w:sz w:val="28"/>
          <w:szCs w:val="28"/>
          <w:lang w:val="uk-UA"/>
        </w:rPr>
      </w:pPr>
      <w:r>
        <w:rPr>
          <w:rFonts w:ascii="Times New Roman" w:hAnsi="Times New Roman" w:cs="Times New Roman"/>
          <w:sz w:val="28"/>
          <w:szCs w:val="28"/>
          <w:lang w:val="uk-UA"/>
        </w:rPr>
        <w:t>обмеженість обсягів медичної субвенції з державного бюджету;</w:t>
      </w:r>
    </w:p>
    <w:p w:rsidR="00E82D12" w:rsidRDefault="00E82D12" w:rsidP="00085F2F">
      <w:pPr>
        <w:pStyle w:val="a3"/>
        <w:numPr>
          <w:ilvl w:val="0"/>
          <w:numId w:val="6"/>
        </w:numPr>
        <w:spacing w:after="0" w:line="240" w:lineRule="auto"/>
        <w:ind w:left="1134" w:hanging="425"/>
        <w:jc w:val="both"/>
        <w:rPr>
          <w:rFonts w:ascii="Times New Roman" w:hAnsi="Times New Roman" w:cs="Times New Roman"/>
          <w:sz w:val="28"/>
          <w:szCs w:val="28"/>
          <w:lang w:val="uk-UA"/>
        </w:rPr>
      </w:pPr>
      <w:r>
        <w:rPr>
          <w:rFonts w:ascii="Times New Roman" w:hAnsi="Times New Roman" w:cs="Times New Roman"/>
          <w:sz w:val="28"/>
          <w:szCs w:val="28"/>
          <w:lang w:val="uk-UA"/>
        </w:rPr>
        <w:t>кадрове забезпечення</w:t>
      </w:r>
      <w:r w:rsidR="009A7E3E">
        <w:rPr>
          <w:rFonts w:ascii="Times New Roman" w:hAnsi="Times New Roman" w:cs="Times New Roman"/>
          <w:sz w:val="28"/>
          <w:szCs w:val="28"/>
          <w:lang w:val="uk-UA"/>
        </w:rPr>
        <w:t>;</w:t>
      </w:r>
    </w:p>
    <w:p w:rsidR="00E82D12" w:rsidRDefault="00E82D12" w:rsidP="00085F2F">
      <w:pPr>
        <w:pStyle w:val="a3"/>
        <w:numPr>
          <w:ilvl w:val="0"/>
          <w:numId w:val="6"/>
        </w:numPr>
        <w:spacing w:after="0" w:line="240" w:lineRule="auto"/>
        <w:ind w:left="1134" w:hanging="425"/>
        <w:jc w:val="both"/>
        <w:rPr>
          <w:rFonts w:ascii="Times New Roman" w:hAnsi="Times New Roman" w:cs="Times New Roman"/>
          <w:sz w:val="28"/>
          <w:szCs w:val="28"/>
          <w:lang w:val="uk-UA"/>
        </w:rPr>
      </w:pPr>
      <w:r>
        <w:rPr>
          <w:rFonts w:ascii="Times New Roman" w:hAnsi="Times New Roman" w:cs="Times New Roman"/>
          <w:sz w:val="28"/>
          <w:szCs w:val="28"/>
          <w:lang w:val="uk-UA"/>
        </w:rPr>
        <w:t>невідповідність стану матеріально-технічного забезпечення закладів охорони здоров’</w:t>
      </w:r>
      <w:r w:rsidRPr="00874871">
        <w:rPr>
          <w:rFonts w:ascii="Times New Roman" w:hAnsi="Times New Roman" w:cs="Times New Roman"/>
          <w:sz w:val="28"/>
          <w:szCs w:val="28"/>
        </w:rPr>
        <w:t>я вимогам сучасних стандартів діагностики та лікування</w:t>
      </w:r>
      <w:r w:rsidR="009A7E3E">
        <w:rPr>
          <w:rFonts w:ascii="Times New Roman" w:hAnsi="Times New Roman" w:cs="Times New Roman"/>
          <w:sz w:val="28"/>
          <w:szCs w:val="28"/>
          <w:lang w:val="uk-UA"/>
        </w:rPr>
        <w:t>;</w:t>
      </w:r>
    </w:p>
    <w:p w:rsidR="00E82D12" w:rsidRDefault="00E82D12" w:rsidP="00085F2F">
      <w:pPr>
        <w:pStyle w:val="a3"/>
        <w:numPr>
          <w:ilvl w:val="0"/>
          <w:numId w:val="6"/>
        </w:numPr>
        <w:spacing w:after="0" w:line="240" w:lineRule="auto"/>
        <w:ind w:left="1134" w:hanging="425"/>
        <w:jc w:val="both"/>
        <w:rPr>
          <w:rFonts w:ascii="Times New Roman" w:hAnsi="Times New Roman" w:cs="Times New Roman"/>
          <w:sz w:val="28"/>
          <w:szCs w:val="28"/>
          <w:lang w:val="uk-UA"/>
        </w:rPr>
      </w:pPr>
      <w:r>
        <w:rPr>
          <w:rFonts w:ascii="Times New Roman" w:hAnsi="Times New Roman" w:cs="Times New Roman"/>
          <w:sz w:val="28"/>
          <w:szCs w:val="28"/>
          <w:lang w:val="uk-UA"/>
        </w:rPr>
        <w:t>незадовільний технічний стан окремих будівель закладів охорони здоров’</w:t>
      </w:r>
      <w:r w:rsidRPr="003E7E8E">
        <w:rPr>
          <w:rFonts w:ascii="Times New Roman" w:hAnsi="Times New Roman" w:cs="Times New Roman"/>
          <w:sz w:val="28"/>
          <w:szCs w:val="28"/>
        </w:rPr>
        <w:t>я</w:t>
      </w:r>
      <w:r>
        <w:rPr>
          <w:rFonts w:ascii="Times New Roman" w:hAnsi="Times New Roman" w:cs="Times New Roman"/>
          <w:sz w:val="28"/>
          <w:szCs w:val="28"/>
          <w:lang w:val="uk-UA"/>
        </w:rPr>
        <w:t>, мереж водопостачання та водовідведення, теплопостачання;</w:t>
      </w:r>
    </w:p>
    <w:p w:rsidR="00E82D12" w:rsidRDefault="00E82D12" w:rsidP="00085F2F">
      <w:pPr>
        <w:pStyle w:val="a3"/>
        <w:numPr>
          <w:ilvl w:val="0"/>
          <w:numId w:val="6"/>
        </w:numPr>
        <w:spacing w:after="0" w:line="240" w:lineRule="auto"/>
        <w:ind w:left="1134" w:hanging="425"/>
        <w:jc w:val="both"/>
        <w:rPr>
          <w:rFonts w:ascii="Times New Roman" w:hAnsi="Times New Roman" w:cs="Times New Roman"/>
          <w:sz w:val="28"/>
          <w:szCs w:val="28"/>
          <w:lang w:val="uk-UA"/>
        </w:rPr>
      </w:pPr>
      <w:r>
        <w:rPr>
          <w:rFonts w:ascii="Times New Roman" w:hAnsi="Times New Roman" w:cs="Times New Roman"/>
          <w:sz w:val="28"/>
          <w:szCs w:val="28"/>
          <w:lang w:val="uk-UA"/>
        </w:rPr>
        <w:t>надання паліативної допомоги закладами охорони здоров’</w:t>
      </w:r>
      <w:r w:rsidRPr="003E7E8E">
        <w:rPr>
          <w:rFonts w:ascii="Times New Roman" w:hAnsi="Times New Roman" w:cs="Times New Roman"/>
          <w:sz w:val="28"/>
          <w:szCs w:val="28"/>
        </w:rPr>
        <w:t xml:space="preserve">я </w:t>
      </w:r>
      <w:r>
        <w:rPr>
          <w:rFonts w:ascii="Times New Roman" w:hAnsi="Times New Roman" w:cs="Times New Roman"/>
          <w:sz w:val="28"/>
          <w:szCs w:val="28"/>
          <w:lang w:val="uk-UA"/>
        </w:rPr>
        <w:t>фрагментарно, переважно на первинному рівні та без комплексного підходу.</w:t>
      </w:r>
    </w:p>
    <w:p w:rsidR="00764284" w:rsidRDefault="00764284" w:rsidP="00764284">
      <w:pPr>
        <w:pStyle w:val="a3"/>
        <w:spacing w:after="0" w:line="240" w:lineRule="auto"/>
        <w:ind w:left="567"/>
        <w:jc w:val="both"/>
        <w:rPr>
          <w:rFonts w:ascii="Times New Roman" w:hAnsi="Times New Roman" w:cs="Times New Roman"/>
          <w:sz w:val="28"/>
          <w:szCs w:val="28"/>
          <w:lang w:val="uk-UA"/>
        </w:rPr>
      </w:pPr>
    </w:p>
    <w:p w:rsidR="00E82D12" w:rsidRDefault="00923F17" w:rsidP="00E21A71">
      <w:pPr>
        <w:tabs>
          <w:tab w:val="left" w:pos="0"/>
        </w:tabs>
        <w:spacing w:after="0" w:line="240" w:lineRule="auto"/>
        <w:jc w:val="both"/>
        <w:rPr>
          <w:rFonts w:ascii="Times New Roman" w:hAnsi="Times New Roman" w:cs="Times New Roman"/>
          <w:b/>
          <w:color w:val="000000" w:themeColor="text1"/>
          <w:sz w:val="28"/>
          <w:szCs w:val="28"/>
          <w:lang w:val="uk-UA"/>
        </w:rPr>
      </w:pPr>
      <w:r>
        <w:rPr>
          <w:rFonts w:ascii="Times New Roman" w:hAnsi="Times New Roman" w:cs="Times New Roman"/>
          <w:b/>
          <w:color w:val="000000" w:themeColor="text1"/>
          <w:sz w:val="28"/>
          <w:szCs w:val="28"/>
          <w:lang w:val="uk-UA"/>
        </w:rPr>
        <w:t>Освіта</w:t>
      </w:r>
    </w:p>
    <w:p w:rsidR="00DB6764" w:rsidRDefault="00DB6764" w:rsidP="00DB6764">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Мережа комунальних закладів освіти включає в себе загальноосвітні навчальні заклади, дошкільні навчальні заклади, в тому числі навчально-виховні комплекси</w:t>
      </w:r>
      <w:r w:rsidRPr="00FB63FC">
        <w:rPr>
          <w:rFonts w:ascii="Times New Roman" w:hAnsi="Times New Roman" w:cs="Times New Roman"/>
          <w:sz w:val="28"/>
          <w:szCs w:val="28"/>
          <w:lang w:val="uk-UA"/>
        </w:rPr>
        <w:t>,</w:t>
      </w:r>
      <w:r>
        <w:rPr>
          <w:rFonts w:ascii="Times New Roman" w:hAnsi="Times New Roman" w:cs="Times New Roman"/>
          <w:sz w:val="28"/>
          <w:szCs w:val="28"/>
          <w:lang w:val="uk-UA"/>
        </w:rPr>
        <w:t xml:space="preserve"> та дошкільні навчальні заклади. </w:t>
      </w:r>
    </w:p>
    <w:p w:rsidR="00961519" w:rsidRDefault="00961519" w:rsidP="00DB6764">
      <w:pPr>
        <w:spacing w:after="0" w:line="240" w:lineRule="auto"/>
        <w:ind w:firstLine="709"/>
        <w:jc w:val="both"/>
        <w:rPr>
          <w:rFonts w:ascii="Times New Roman" w:hAnsi="Times New Roman" w:cs="Times New Roman"/>
          <w:sz w:val="28"/>
          <w:szCs w:val="28"/>
          <w:lang w:val="uk-UA"/>
        </w:rPr>
      </w:pPr>
    </w:p>
    <w:p w:rsidR="00DB6764" w:rsidRDefault="00897B5F" w:rsidP="00DB6764">
      <w:pPr>
        <w:spacing w:after="0" w:line="240" w:lineRule="auto"/>
        <w:ind w:firstLine="709"/>
        <w:jc w:val="center"/>
        <w:rPr>
          <w:rFonts w:ascii="Times New Roman" w:hAnsi="Times New Roman" w:cs="Times New Roman"/>
          <w:i/>
          <w:color w:val="FF0000"/>
          <w:sz w:val="28"/>
          <w:szCs w:val="28"/>
          <w:lang w:val="uk-UA"/>
        </w:rPr>
      </w:pPr>
      <w:r w:rsidRPr="00897B5F">
        <w:rPr>
          <w:rFonts w:ascii="Times New Roman" w:hAnsi="Times New Roman" w:cs="Times New Roman"/>
          <w:i/>
          <w:noProof/>
          <w:color w:val="FF0000"/>
          <w:sz w:val="28"/>
          <w:szCs w:val="28"/>
          <w:lang w:eastAsia="ru-RU"/>
        </w:rPr>
        <w:drawing>
          <wp:inline distT="0" distB="0" distL="0" distR="0">
            <wp:extent cx="4919472" cy="2127504"/>
            <wp:effectExtent l="0" t="0" r="0" b="0"/>
            <wp:docPr id="122"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rsidR="00961519" w:rsidRPr="00F35505" w:rsidRDefault="00961519" w:rsidP="00DB6764">
      <w:pPr>
        <w:spacing w:after="0" w:line="240" w:lineRule="auto"/>
        <w:ind w:firstLine="709"/>
        <w:jc w:val="center"/>
        <w:rPr>
          <w:rFonts w:ascii="Times New Roman" w:hAnsi="Times New Roman" w:cs="Times New Roman"/>
          <w:i/>
          <w:color w:val="FF0000"/>
          <w:sz w:val="28"/>
          <w:szCs w:val="28"/>
          <w:lang w:val="uk-UA"/>
        </w:rPr>
      </w:pPr>
    </w:p>
    <w:p w:rsidR="00DB6764" w:rsidRDefault="00DB6764" w:rsidP="00085F2F">
      <w:pPr>
        <w:spacing w:after="0" w:line="240" w:lineRule="auto"/>
        <w:ind w:firstLine="567"/>
        <w:jc w:val="both"/>
        <w:rPr>
          <w:rFonts w:ascii="Times New Roman" w:hAnsi="Times New Roman" w:cs="Times New Roman"/>
          <w:i/>
          <w:color w:val="FF0000"/>
          <w:sz w:val="28"/>
          <w:szCs w:val="28"/>
          <w:lang w:val="uk-UA"/>
        </w:rPr>
      </w:pPr>
      <w:r w:rsidRPr="009C2C3F">
        <w:rPr>
          <w:rFonts w:ascii="Times New Roman" w:hAnsi="Times New Roman" w:cs="Times New Roman"/>
          <w:sz w:val="28"/>
          <w:szCs w:val="28"/>
          <w:lang w:val="uk-UA"/>
        </w:rPr>
        <w:t>Протягом останніх трьох років спост</w:t>
      </w:r>
      <w:r>
        <w:rPr>
          <w:rFonts w:ascii="Times New Roman" w:hAnsi="Times New Roman" w:cs="Times New Roman"/>
          <w:sz w:val="28"/>
          <w:szCs w:val="28"/>
          <w:lang w:val="uk-UA"/>
        </w:rPr>
        <w:t xml:space="preserve">ерігається тенденція збільшення кількості дітей та учнів в навчальних закладах міста. </w:t>
      </w:r>
    </w:p>
    <w:p w:rsidR="00DB6764" w:rsidRDefault="00DB6764" w:rsidP="00DB6764">
      <w:pPr>
        <w:spacing w:after="0" w:line="240" w:lineRule="auto"/>
        <w:ind w:firstLine="709"/>
        <w:jc w:val="both"/>
        <w:rPr>
          <w:rFonts w:ascii="Times New Roman" w:hAnsi="Times New Roman" w:cs="Times New Roman"/>
          <w:sz w:val="28"/>
          <w:szCs w:val="28"/>
          <w:lang w:val="uk-UA"/>
        </w:rPr>
      </w:pPr>
      <w:r w:rsidRPr="00FB63FC">
        <w:rPr>
          <w:rFonts w:ascii="Times New Roman" w:hAnsi="Times New Roman" w:cs="Times New Roman"/>
          <w:noProof/>
          <w:sz w:val="28"/>
          <w:szCs w:val="28"/>
          <w:lang w:eastAsia="ru-RU"/>
        </w:rPr>
        <w:lastRenderedPageBreak/>
        <w:drawing>
          <wp:inline distT="0" distB="0" distL="0" distR="0">
            <wp:extent cx="5448300" cy="2400300"/>
            <wp:effectExtent l="19050" t="0" r="0" b="0"/>
            <wp:docPr id="49"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372026" w:rsidRDefault="00372026" w:rsidP="00A449BF">
      <w:pPr>
        <w:spacing w:after="0" w:line="240" w:lineRule="auto"/>
        <w:jc w:val="center"/>
        <w:rPr>
          <w:rFonts w:ascii="Times New Roman" w:hAnsi="Times New Roman" w:cs="Times New Roman"/>
          <w:noProof/>
          <w:sz w:val="28"/>
          <w:szCs w:val="28"/>
          <w:lang w:val="uk-UA" w:eastAsia="ru-RU"/>
        </w:rPr>
      </w:pPr>
      <w:r w:rsidRPr="00372026">
        <w:rPr>
          <w:rFonts w:ascii="Times New Roman" w:hAnsi="Times New Roman" w:cs="Times New Roman"/>
          <w:noProof/>
          <w:sz w:val="28"/>
          <w:szCs w:val="28"/>
          <w:lang w:eastAsia="ru-RU"/>
        </w:rPr>
        <w:drawing>
          <wp:inline distT="0" distB="0" distL="0" distR="0">
            <wp:extent cx="4412742" cy="1956816"/>
            <wp:effectExtent l="19050" t="0" r="6858" b="0"/>
            <wp:docPr id="111"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764284" w:rsidRDefault="00764284" w:rsidP="00085F2F">
      <w:pPr>
        <w:spacing w:after="0" w:line="240" w:lineRule="auto"/>
        <w:ind w:firstLine="567"/>
        <w:jc w:val="both"/>
        <w:rPr>
          <w:rFonts w:ascii="Times New Roman" w:hAnsi="Times New Roman" w:cs="Times New Roman"/>
          <w:color w:val="000000" w:themeColor="text1"/>
          <w:sz w:val="28"/>
          <w:szCs w:val="28"/>
          <w:lang w:val="uk-UA"/>
        </w:rPr>
      </w:pPr>
      <w:r w:rsidRPr="00EA4B59">
        <w:rPr>
          <w:rFonts w:ascii="Times New Roman" w:hAnsi="Times New Roman" w:cs="Times New Roman"/>
          <w:color w:val="000000" w:themeColor="text1"/>
          <w:sz w:val="28"/>
          <w:szCs w:val="28"/>
          <w:lang w:val="uk-UA"/>
        </w:rPr>
        <w:t>У середньому по м</w:t>
      </w:r>
      <w:r>
        <w:rPr>
          <w:rFonts w:ascii="Times New Roman" w:hAnsi="Times New Roman" w:cs="Times New Roman"/>
          <w:color w:val="000000" w:themeColor="text1"/>
          <w:sz w:val="28"/>
          <w:szCs w:val="28"/>
          <w:lang w:val="uk-UA"/>
        </w:rPr>
        <w:t>істу</w:t>
      </w:r>
      <w:r w:rsidRPr="00EA4B59">
        <w:rPr>
          <w:rFonts w:ascii="Times New Roman" w:hAnsi="Times New Roman" w:cs="Times New Roman"/>
          <w:color w:val="000000" w:themeColor="text1"/>
          <w:sz w:val="28"/>
          <w:szCs w:val="28"/>
          <w:lang w:val="uk-UA"/>
        </w:rPr>
        <w:t xml:space="preserve"> дошкільні навчальні заклади укомплектовані</w:t>
      </w:r>
      <w:r w:rsidR="00F60B1B">
        <w:rPr>
          <w:rFonts w:ascii="Times New Roman" w:hAnsi="Times New Roman" w:cs="Times New Roman"/>
          <w:color w:val="000000" w:themeColor="text1"/>
          <w:sz w:val="28"/>
          <w:szCs w:val="28"/>
          <w:lang w:val="uk-UA"/>
        </w:rPr>
        <w:t xml:space="preserve"> понад розрахункову потужність (</w:t>
      </w:r>
      <w:r w:rsidRPr="00EA4B59">
        <w:rPr>
          <w:rFonts w:ascii="Times New Roman" w:hAnsi="Times New Roman" w:cs="Times New Roman"/>
          <w:color w:val="000000" w:themeColor="text1"/>
          <w:sz w:val="28"/>
          <w:szCs w:val="28"/>
          <w:lang w:val="uk-UA"/>
        </w:rPr>
        <w:t xml:space="preserve">на 100 місцях виховується </w:t>
      </w:r>
      <w:r>
        <w:rPr>
          <w:rFonts w:ascii="Times New Roman" w:hAnsi="Times New Roman" w:cs="Times New Roman"/>
          <w:color w:val="000000" w:themeColor="text1"/>
          <w:sz w:val="28"/>
          <w:szCs w:val="28"/>
          <w:lang w:val="uk-UA"/>
        </w:rPr>
        <w:t xml:space="preserve">153 </w:t>
      </w:r>
      <w:r w:rsidR="00F60B1B">
        <w:rPr>
          <w:rFonts w:ascii="Times New Roman" w:hAnsi="Times New Roman" w:cs="Times New Roman"/>
          <w:color w:val="000000" w:themeColor="text1"/>
          <w:sz w:val="28"/>
          <w:szCs w:val="28"/>
          <w:lang w:val="uk-UA"/>
        </w:rPr>
        <w:t>дитини)</w:t>
      </w:r>
      <w:r>
        <w:rPr>
          <w:rFonts w:ascii="Times New Roman" w:hAnsi="Times New Roman" w:cs="Times New Roman"/>
          <w:color w:val="000000" w:themeColor="text1"/>
          <w:sz w:val="28"/>
          <w:szCs w:val="28"/>
          <w:lang w:val="uk-UA"/>
        </w:rPr>
        <w:t xml:space="preserve">. </w:t>
      </w:r>
    </w:p>
    <w:p w:rsidR="00F60B1B" w:rsidRDefault="00F60B1B" w:rsidP="00F60B1B">
      <w:pPr>
        <w:spacing w:after="0" w:line="240" w:lineRule="auto"/>
        <w:jc w:val="center"/>
        <w:rPr>
          <w:rFonts w:ascii="Times New Roman" w:hAnsi="Times New Roman" w:cs="Times New Roman"/>
          <w:i/>
          <w:color w:val="FF0000"/>
          <w:sz w:val="28"/>
          <w:szCs w:val="28"/>
          <w:lang w:val="uk-UA"/>
        </w:rPr>
      </w:pPr>
      <w:r>
        <w:rPr>
          <w:noProof/>
          <w:lang w:eastAsia="ru-RU"/>
        </w:rPr>
        <w:drawing>
          <wp:inline distT="0" distB="0" distL="0" distR="0" wp14:anchorId="2FEB230E" wp14:editId="7DAC3302">
            <wp:extent cx="3933825" cy="2076450"/>
            <wp:effectExtent l="0" t="0" r="0" b="0"/>
            <wp:docPr id="41"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DB6764" w:rsidRDefault="00DB6764" w:rsidP="00764284">
      <w:pPr>
        <w:spacing w:after="0" w:line="240" w:lineRule="auto"/>
        <w:ind w:hanging="567"/>
        <w:jc w:val="center"/>
        <w:rPr>
          <w:rFonts w:ascii="Times New Roman" w:hAnsi="Times New Roman" w:cs="Times New Roman"/>
          <w:i/>
          <w:color w:val="FF0000"/>
          <w:sz w:val="28"/>
          <w:szCs w:val="28"/>
          <w:lang w:val="uk-UA"/>
        </w:rPr>
      </w:pPr>
    </w:p>
    <w:p w:rsidR="0047337E" w:rsidRDefault="00DB6764" w:rsidP="00EE3174">
      <w:pPr>
        <w:spacing w:after="0" w:line="240" w:lineRule="auto"/>
        <w:jc w:val="both"/>
        <w:rPr>
          <w:rFonts w:ascii="Times New Roman" w:hAnsi="Times New Roman" w:cs="Times New Roman"/>
          <w:color w:val="FF0000"/>
          <w:sz w:val="28"/>
          <w:szCs w:val="28"/>
          <w:lang w:val="uk-UA"/>
        </w:rPr>
      </w:pPr>
      <w:r>
        <w:rPr>
          <w:rFonts w:ascii="Times New Roman" w:hAnsi="Times New Roman" w:cs="Times New Roman"/>
          <w:color w:val="000000" w:themeColor="text1"/>
          <w:sz w:val="28"/>
          <w:szCs w:val="28"/>
          <w:lang w:val="uk-UA"/>
        </w:rPr>
        <w:t xml:space="preserve">        </w:t>
      </w:r>
      <w:r w:rsidR="0047337E">
        <w:rPr>
          <w:rFonts w:ascii="Times New Roman" w:hAnsi="Times New Roman" w:cs="Times New Roman"/>
          <w:sz w:val="28"/>
          <w:szCs w:val="28"/>
          <w:lang w:val="uk-UA"/>
        </w:rPr>
        <w:tab/>
        <w:t>С</w:t>
      </w:r>
      <w:r w:rsidR="0047337E" w:rsidRPr="009C2C3F">
        <w:rPr>
          <w:rFonts w:ascii="Times New Roman" w:hAnsi="Times New Roman" w:cs="Times New Roman"/>
          <w:sz w:val="28"/>
          <w:szCs w:val="28"/>
          <w:lang w:val="uk-UA"/>
        </w:rPr>
        <w:t>постерігається тенденція до зростання</w:t>
      </w:r>
      <w:r w:rsidR="0047337E">
        <w:rPr>
          <w:rFonts w:ascii="Times New Roman" w:hAnsi="Times New Roman" w:cs="Times New Roman"/>
          <w:sz w:val="28"/>
          <w:szCs w:val="28"/>
          <w:lang w:val="uk-UA"/>
        </w:rPr>
        <w:t xml:space="preserve"> середньої</w:t>
      </w:r>
      <w:r w:rsidR="0047337E" w:rsidRPr="009C2C3F">
        <w:rPr>
          <w:rFonts w:ascii="Times New Roman" w:hAnsi="Times New Roman" w:cs="Times New Roman"/>
          <w:sz w:val="28"/>
          <w:szCs w:val="28"/>
          <w:lang w:val="uk-UA"/>
        </w:rPr>
        <w:t xml:space="preserve"> наповнюваності класів</w:t>
      </w:r>
      <w:r w:rsidR="0047337E">
        <w:rPr>
          <w:rFonts w:ascii="Times New Roman" w:hAnsi="Times New Roman" w:cs="Times New Roman"/>
          <w:sz w:val="28"/>
          <w:szCs w:val="28"/>
          <w:lang w:val="uk-UA"/>
        </w:rPr>
        <w:t xml:space="preserve"> в загальноосвітніх навчальних закладах</w:t>
      </w:r>
      <w:r w:rsidR="0047337E">
        <w:rPr>
          <w:rFonts w:ascii="Times New Roman" w:hAnsi="Times New Roman" w:cs="Times New Roman"/>
          <w:color w:val="FF0000"/>
          <w:sz w:val="28"/>
          <w:szCs w:val="28"/>
          <w:lang w:val="uk-UA"/>
        </w:rPr>
        <w:t>.</w:t>
      </w:r>
    </w:p>
    <w:p w:rsidR="00DB6764" w:rsidRDefault="00DB6764" w:rsidP="0047337E">
      <w:pPr>
        <w:spacing w:after="0" w:line="240" w:lineRule="auto"/>
        <w:jc w:val="center"/>
        <w:rPr>
          <w:rFonts w:ascii="Times New Roman" w:hAnsi="Times New Roman" w:cs="Times New Roman"/>
          <w:i/>
          <w:color w:val="FF0000"/>
          <w:sz w:val="28"/>
          <w:szCs w:val="28"/>
          <w:lang w:val="uk-UA"/>
        </w:rPr>
      </w:pPr>
      <w:r>
        <w:rPr>
          <w:rFonts w:ascii="Times New Roman" w:hAnsi="Times New Roman" w:cs="Times New Roman"/>
          <w:i/>
          <w:noProof/>
          <w:color w:val="FF0000"/>
          <w:sz w:val="28"/>
          <w:szCs w:val="28"/>
          <w:lang w:eastAsia="ru-RU"/>
        </w:rPr>
        <w:lastRenderedPageBreak/>
        <w:drawing>
          <wp:inline distT="0" distB="0" distL="0" distR="0">
            <wp:extent cx="3381375" cy="2247900"/>
            <wp:effectExtent l="19050" t="0" r="0" b="0"/>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DB6764" w:rsidRDefault="00DB6764" w:rsidP="00DB6764">
      <w:pPr>
        <w:tabs>
          <w:tab w:val="left" w:pos="6237"/>
        </w:tabs>
        <w:spacing w:after="0" w:line="240" w:lineRule="auto"/>
        <w:jc w:val="both"/>
        <w:rPr>
          <w:rFonts w:ascii="Times New Roman" w:hAnsi="Times New Roman" w:cs="Times New Roman"/>
          <w:color w:val="FF0000"/>
          <w:sz w:val="28"/>
          <w:szCs w:val="28"/>
          <w:lang w:val="uk-UA"/>
        </w:rPr>
      </w:pPr>
      <w:r>
        <w:rPr>
          <w:rFonts w:ascii="Times New Roman" w:hAnsi="Times New Roman" w:cs="Times New Roman"/>
          <w:sz w:val="28"/>
          <w:szCs w:val="28"/>
          <w:lang w:val="uk-UA"/>
        </w:rPr>
        <w:t xml:space="preserve">        </w:t>
      </w:r>
    </w:p>
    <w:p w:rsidR="007D00A0" w:rsidRDefault="007D00A0" w:rsidP="00085F2F">
      <w:pPr>
        <w:spacing w:after="0" w:line="240" w:lineRule="auto"/>
        <w:ind w:firstLine="567"/>
        <w:jc w:val="both"/>
        <w:rPr>
          <w:rFonts w:ascii="Times New Roman" w:hAnsi="Times New Roman" w:cs="Times New Roman"/>
          <w:color w:val="000000" w:themeColor="text1"/>
          <w:sz w:val="28"/>
          <w:szCs w:val="28"/>
          <w:lang w:val="uk-UA"/>
        </w:rPr>
      </w:pPr>
      <w:r w:rsidRPr="004C3962">
        <w:rPr>
          <w:rFonts w:ascii="Times New Roman" w:hAnsi="Times New Roman" w:cs="Times New Roman"/>
          <w:color w:val="000000" w:themeColor="text1"/>
          <w:sz w:val="28"/>
          <w:szCs w:val="28"/>
          <w:lang w:val="uk-UA"/>
        </w:rPr>
        <w:t>Впроваджується інклюзивна освіта в навчальних закладах міста. Відкрито 11 інклюзивних груп в дошкільних навчальних закладах для 15 дітей з особливими освітніми потребами. Крім того, інклюзивною освітою охоплено 25 навчальних закладів, де навчається 114 учнів</w:t>
      </w:r>
      <w:r>
        <w:rPr>
          <w:rFonts w:ascii="Times New Roman" w:hAnsi="Times New Roman" w:cs="Times New Roman"/>
          <w:color w:val="000000" w:themeColor="text1"/>
          <w:sz w:val="28"/>
          <w:szCs w:val="28"/>
          <w:lang w:val="uk-UA"/>
        </w:rPr>
        <w:t>.</w:t>
      </w:r>
    </w:p>
    <w:p w:rsidR="00DB6764" w:rsidRPr="00F35505" w:rsidRDefault="00DB6764" w:rsidP="00DB6764">
      <w:pPr>
        <w:spacing w:after="0" w:line="240" w:lineRule="auto"/>
        <w:rPr>
          <w:rFonts w:ascii="Times New Roman" w:hAnsi="Times New Roman" w:cs="Times New Roman"/>
          <w:i/>
          <w:color w:val="FF0000"/>
          <w:sz w:val="28"/>
          <w:szCs w:val="28"/>
          <w:lang w:val="uk-UA"/>
        </w:rPr>
      </w:pPr>
    </w:p>
    <w:p w:rsidR="00DB6764" w:rsidRDefault="00DB6764" w:rsidP="007D00A0">
      <w:pPr>
        <w:spacing w:after="0" w:line="240" w:lineRule="auto"/>
        <w:ind w:firstLine="708"/>
        <w:jc w:val="center"/>
        <w:rPr>
          <w:rFonts w:ascii="Times New Roman" w:hAnsi="Times New Roman" w:cs="Times New Roman"/>
          <w:color w:val="FF0000"/>
          <w:sz w:val="28"/>
          <w:szCs w:val="28"/>
          <w:lang w:val="uk-UA"/>
        </w:rPr>
      </w:pPr>
      <w:r>
        <w:rPr>
          <w:rFonts w:ascii="Times New Roman" w:hAnsi="Times New Roman" w:cs="Times New Roman"/>
          <w:noProof/>
          <w:color w:val="FF0000"/>
          <w:sz w:val="28"/>
          <w:szCs w:val="28"/>
          <w:lang w:eastAsia="ru-RU"/>
        </w:rPr>
        <w:drawing>
          <wp:inline distT="0" distB="0" distL="0" distR="0">
            <wp:extent cx="3714750" cy="2381250"/>
            <wp:effectExtent l="0" t="0" r="0" b="0"/>
            <wp:docPr id="3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DB6764" w:rsidRDefault="00DB6764" w:rsidP="00DB6764">
      <w:pPr>
        <w:spacing w:after="0" w:line="240" w:lineRule="auto"/>
        <w:jc w:val="both"/>
        <w:rPr>
          <w:rFonts w:ascii="Times New Roman" w:hAnsi="Times New Roman" w:cs="Times New Roman"/>
          <w:color w:val="000000" w:themeColor="text1"/>
          <w:sz w:val="28"/>
          <w:szCs w:val="28"/>
          <w:lang w:val="uk-UA"/>
        </w:rPr>
      </w:pPr>
      <w:r>
        <w:rPr>
          <w:rFonts w:ascii="Times New Roman" w:hAnsi="Times New Roman" w:cs="Times New Roman"/>
          <w:color w:val="FF0000"/>
          <w:sz w:val="28"/>
          <w:szCs w:val="28"/>
          <w:lang w:val="uk-UA"/>
        </w:rPr>
        <w:t xml:space="preserve">     </w:t>
      </w:r>
    </w:p>
    <w:p w:rsidR="00DB6764" w:rsidRDefault="00DB6764" w:rsidP="007D00A0">
      <w:pPr>
        <w:spacing w:after="0" w:line="240" w:lineRule="auto"/>
        <w:jc w:val="center"/>
        <w:rPr>
          <w:rFonts w:ascii="Times New Roman" w:hAnsi="Times New Roman" w:cs="Times New Roman"/>
          <w:color w:val="000000" w:themeColor="text1"/>
          <w:sz w:val="28"/>
          <w:szCs w:val="28"/>
          <w:lang w:val="uk-UA"/>
        </w:rPr>
      </w:pPr>
      <w:r w:rsidRPr="004C3962">
        <w:rPr>
          <w:rFonts w:ascii="Times New Roman" w:hAnsi="Times New Roman" w:cs="Times New Roman"/>
          <w:noProof/>
          <w:color w:val="000000" w:themeColor="text1"/>
          <w:sz w:val="28"/>
          <w:szCs w:val="28"/>
          <w:lang w:eastAsia="ru-RU"/>
        </w:rPr>
        <w:drawing>
          <wp:inline distT="0" distB="0" distL="0" distR="0">
            <wp:extent cx="3733800" cy="2314575"/>
            <wp:effectExtent l="0" t="0" r="0" b="0"/>
            <wp:docPr id="3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7D00A0" w:rsidRDefault="007D00A0" w:rsidP="00085F2F">
      <w:pPr>
        <w:spacing w:after="0" w:line="240" w:lineRule="auto"/>
        <w:ind w:firstLine="567"/>
        <w:jc w:val="both"/>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Підвищується якість надання освітніх послуг. Постійно збільшується кількість учнів-переможців олімпіад та конкурсів всіх рівнів.</w:t>
      </w:r>
    </w:p>
    <w:p w:rsidR="00A04B19" w:rsidRDefault="00A04B19" w:rsidP="00085F2F">
      <w:pPr>
        <w:spacing w:after="0" w:line="240" w:lineRule="auto"/>
        <w:ind w:firstLine="567"/>
        <w:jc w:val="both"/>
        <w:rPr>
          <w:rFonts w:ascii="Times New Roman" w:hAnsi="Times New Roman" w:cs="Times New Roman"/>
          <w:color w:val="000000" w:themeColor="text1"/>
          <w:sz w:val="28"/>
          <w:szCs w:val="28"/>
          <w:lang w:val="uk-UA"/>
        </w:rPr>
      </w:pPr>
    </w:p>
    <w:p w:rsidR="007D00A0" w:rsidRDefault="00A04B19" w:rsidP="007D00A0">
      <w:pPr>
        <w:spacing w:after="0" w:line="240" w:lineRule="auto"/>
        <w:jc w:val="center"/>
        <w:rPr>
          <w:rFonts w:ascii="Times New Roman" w:hAnsi="Times New Roman" w:cs="Times New Roman"/>
          <w:color w:val="000000" w:themeColor="text1"/>
          <w:sz w:val="28"/>
          <w:szCs w:val="28"/>
          <w:lang w:val="uk-UA"/>
        </w:rPr>
      </w:pPr>
      <w:r>
        <w:rPr>
          <w:noProof/>
          <w:lang w:eastAsia="ru-RU"/>
        </w:rPr>
        <w:lastRenderedPageBreak/>
        <w:drawing>
          <wp:inline distT="0" distB="0" distL="0" distR="0" wp14:anchorId="7981F29A" wp14:editId="3663CEBA">
            <wp:extent cx="3914775" cy="2419350"/>
            <wp:effectExtent l="0" t="0" r="0" b="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DB6764" w:rsidRDefault="00DB6764" w:rsidP="007D00A0">
      <w:pPr>
        <w:spacing w:after="0" w:line="240" w:lineRule="auto"/>
        <w:jc w:val="center"/>
        <w:rPr>
          <w:rFonts w:ascii="Times New Roman" w:hAnsi="Times New Roman" w:cs="Times New Roman"/>
          <w:color w:val="000000" w:themeColor="text1"/>
          <w:sz w:val="28"/>
          <w:szCs w:val="28"/>
          <w:lang w:val="uk-UA"/>
        </w:rPr>
      </w:pPr>
    </w:p>
    <w:p w:rsidR="00DB6764" w:rsidRDefault="00DB6764" w:rsidP="00085F2F">
      <w:pPr>
        <w:spacing w:after="0" w:line="240" w:lineRule="auto"/>
        <w:ind w:firstLine="567"/>
        <w:jc w:val="both"/>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Серед обласних центрів України за результатами зовнішнього незалежного оцінювання м</w:t>
      </w:r>
      <w:r w:rsidR="00A04B19">
        <w:rPr>
          <w:rFonts w:ascii="Times New Roman" w:hAnsi="Times New Roman" w:cs="Times New Roman"/>
          <w:color w:val="000000" w:themeColor="text1"/>
          <w:sz w:val="28"/>
          <w:szCs w:val="28"/>
          <w:lang w:val="uk-UA"/>
        </w:rPr>
        <w:t>істо</w:t>
      </w:r>
      <w:r>
        <w:rPr>
          <w:rFonts w:ascii="Times New Roman" w:hAnsi="Times New Roman" w:cs="Times New Roman"/>
          <w:color w:val="000000" w:themeColor="text1"/>
          <w:sz w:val="28"/>
          <w:szCs w:val="28"/>
          <w:lang w:val="uk-UA"/>
        </w:rPr>
        <w:t xml:space="preserve"> зайняло 5 місце.</w:t>
      </w:r>
    </w:p>
    <w:p w:rsidR="00DB6764" w:rsidRDefault="00DB6764" w:rsidP="00DB6764">
      <w:pPr>
        <w:spacing w:after="0" w:line="240" w:lineRule="auto"/>
        <w:jc w:val="center"/>
        <w:rPr>
          <w:rFonts w:ascii="Times New Roman" w:hAnsi="Times New Roman" w:cs="Times New Roman"/>
          <w:color w:val="000000" w:themeColor="text1"/>
          <w:sz w:val="28"/>
          <w:szCs w:val="28"/>
          <w:lang w:val="uk-UA"/>
        </w:rPr>
      </w:pPr>
      <w:r w:rsidRPr="00AD0491">
        <w:rPr>
          <w:rFonts w:ascii="Times New Roman" w:hAnsi="Times New Roman" w:cs="Times New Roman"/>
          <w:noProof/>
          <w:color w:val="000000" w:themeColor="text1"/>
          <w:sz w:val="28"/>
          <w:szCs w:val="28"/>
          <w:lang w:eastAsia="ru-RU"/>
        </w:rPr>
        <w:drawing>
          <wp:inline distT="0" distB="0" distL="0" distR="0">
            <wp:extent cx="5646420" cy="3019425"/>
            <wp:effectExtent l="0" t="0" r="0" b="0"/>
            <wp:docPr id="3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DB6764" w:rsidRDefault="00DB6764" w:rsidP="00085F2F">
      <w:pPr>
        <w:spacing w:after="0" w:line="240" w:lineRule="auto"/>
        <w:ind w:firstLine="567"/>
        <w:jc w:val="both"/>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 xml:space="preserve">Разом з тим, невирішеними залишаються наступні </w:t>
      </w:r>
      <w:r w:rsidR="00202B73">
        <w:rPr>
          <w:rFonts w:ascii="Times New Roman" w:hAnsi="Times New Roman" w:cs="Times New Roman"/>
          <w:color w:val="000000" w:themeColor="text1"/>
          <w:sz w:val="28"/>
          <w:szCs w:val="28"/>
          <w:lang w:val="uk-UA"/>
        </w:rPr>
        <w:t>проблеми</w:t>
      </w:r>
      <w:r>
        <w:rPr>
          <w:rFonts w:ascii="Times New Roman" w:hAnsi="Times New Roman" w:cs="Times New Roman"/>
          <w:color w:val="000000" w:themeColor="text1"/>
          <w:sz w:val="28"/>
          <w:szCs w:val="28"/>
          <w:lang w:val="uk-UA"/>
        </w:rPr>
        <w:t>:</w:t>
      </w:r>
    </w:p>
    <w:p w:rsidR="00DB6764" w:rsidRDefault="00DB6764" w:rsidP="00085F2F">
      <w:pPr>
        <w:pStyle w:val="a3"/>
        <w:numPr>
          <w:ilvl w:val="0"/>
          <w:numId w:val="7"/>
        </w:numPr>
        <w:spacing w:after="0" w:line="240" w:lineRule="auto"/>
        <w:ind w:left="1134" w:hanging="425"/>
        <w:jc w:val="both"/>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застарілі матеріально-технічна та оздоровчо-спортивна бази навчальних закладів;</w:t>
      </w:r>
    </w:p>
    <w:p w:rsidR="00DB6764" w:rsidRDefault="00DB6764" w:rsidP="00085F2F">
      <w:pPr>
        <w:pStyle w:val="a3"/>
        <w:numPr>
          <w:ilvl w:val="0"/>
          <w:numId w:val="7"/>
        </w:numPr>
        <w:spacing w:after="0" w:line="240" w:lineRule="auto"/>
        <w:ind w:left="1134" w:hanging="425"/>
        <w:jc w:val="both"/>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незадовільний технічний стан будівель закладів освіти та зношеність інженерних мереж;</w:t>
      </w:r>
    </w:p>
    <w:p w:rsidR="00DB6764" w:rsidRDefault="00DB6764" w:rsidP="00085F2F">
      <w:pPr>
        <w:pStyle w:val="a3"/>
        <w:numPr>
          <w:ilvl w:val="0"/>
          <w:numId w:val="7"/>
        </w:numPr>
        <w:spacing w:after="0" w:line="240" w:lineRule="auto"/>
        <w:ind w:left="1134" w:hanging="425"/>
        <w:jc w:val="both"/>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застаріле предметно-ігрове, спортивно-ігрове та розвивальне обладнання в дошкільних навчальних закладах;</w:t>
      </w:r>
    </w:p>
    <w:p w:rsidR="00DB6764" w:rsidRDefault="00DB6764" w:rsidP="00085F2F">
      <w:pPr>
        <w:pStyle w:val="a3"/>
        <w:numPr>
          <w:ilvl w:val="0"/>
          <w:numId w:val="7"/>
        </w:numPr>
        <w:spacing w:after="0" w:line="240" w:lineRule="auto"/>
        <w:ind w:left="1134" w:hanging="425"/>
        <w:jc w:val="both"/>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перевищення планової наповнюваності груп у дошкільних закладах.</w:t>
      </w:r>
    </w:p>
    <w:p w:rsidR="00DC4CB0" w:rsidRDefault="00DC4CB0" w:rsidP="00E21A71">
      <w:pPr>
        <w:tabs>
          <w:tab w:val="left" w:pos="0"/>
        </w:tabs>
        <w:spacing w:after="0" w:line="240" w:lineRule="auto"/>
        <w:jc w:val="both"/>
        <w:rPr>
          <w:rFonts w:ascii="Times New Roman" w:hAnsi="Times New Roman" w:cs="Times New Roman"/>
          <w:b/>
          <w:color w:val="000000" w:themeColor="text1"/>
          <w:sz w:val="28"/>
          <w:szCs w:val="28"/>
          <w:lang w:val="uk-UA"/>
        </w:rPr>
      </w:pPr>
    </w:p>
    <w:p w:rsidR="00961519" w:rsidRDefault="00961519" w:rsidP="00E21A71">
      <w:pPr>
        <w:tabs>
          <w:tab w:val="left" w:pos="0"/>
        </w:tabs>
        <w:spacing w:after="0" w:line="240" w:lineRule="auto"/>
        <w:jc w:val="both"/>
        <w:rPr>
          <w:rFonts w:ascii="Times New Roman" w:hAnsi="Times New Roman" w:cs="Times New Roman"/>
          <w:b/>
          <w:color w:val="000000" w:themeColor="text1"/>
          <w:sz w:val="28"/>
          <w:szCs w:val="28"/>
          <w:lang w:val="uk-UA"/>
        </w:rPr>
      </w:pPr>
    </w:p>
    <w:p w:rsidR="00961519" w:rsidRDefault="00961519" w:rsidP="00E21A71">
      <w:pPr>
        <w:tabs>
          <w:tab w:val="left" w:pos="0"/>
        </w:tabs>
        <w:spacing w:after="0" w:line="240" w:lineRule="auto"/>
        <w:jc w:val="both"/>
        <w:rPr>
          <w:rFonts w:ascii="Times New Roman" w:hAnsi="Times New Roman" w:cs="Times New Roman"/>
          <w:b/>
          <w:color w:val="000000" w:themeColor="text1"/>
          <w:sz w:val="28"/>
          <w:szCs w:val="28"/>
          <w:lang w:val="uk-UA"/>
        </w:rPr>
      </w:pPr>
    </w:p>
    <w:p w:rsidR="00961519" w:rsidRDefault="00961519" w:rsidP="00E21A71">
      <w:pPr>
        <w:tabs>
          <w:tab w:val="left" w:pos="0"/>
        </w:tabs>
        <w:spacing w:after="0" w:line="240" w:lineRule="auto"/>
        <w:jc w:val="both"/>
        <w:rPr>
          <w:rFonts w:ascii="Times New Roman" w:hAnsi="Times New Roman" w:cs="Times New Roman"/>
          <w:b/>
          <w:color w:val="000000" w:themeColor="text1"/>
          <w:sz w:val="28"/>
          <w:szCs w:val="28"/>
          <w:lang w:val="uk-UA"/>
        </w:rPr>
      </w:pPr>
    </w:p>
    <w:p w:rsidR="00961519" w:rsidRDefault="00961519" w:rsidP="00E21A71">
      <w:pPr>
        <w:tabs>
          <w:tab w:val="left" w:pos="0"/>
        </w:tabs>
        <w:spacing w:after="0" w:line="240" w:lineRule="auto"/>
        <w:jc w:val="both"/>
        <w:rPr>
          <w:rFonts w:ascii="Times New Roman" w:hAnsi="Times New Roman" w:cs="Times New Roman"/>
          <w:b/>
          <w:color w:val="000000" w:themeColor="text1"/>
          <w:sz w:val="28"/>
          <w:szCs w:val="28"/>
          <w:lang w:val="uk-UA"/>
        </w:rPr>
      </w:pPr>
    </w:p>
    <w:p w:rsidR="00386A02" w:rsidRDefault="00386A02" w:rsidP="00E4654C">
      <w:pPr>
        <w:spacing w:after="0" w:line="240" w:lineRule="auto"/>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Розвиток культури</w:t>
      </w:r>
    </w:p>
    <w:p w:rsidR="00386A02" w:rsidRPr="007D5F8E" w:rsidRDefault="00386A02" w:rsidP="00E4654C">
      <w:pPr>
        <w:spacing w:after="0" w:line="240" w:lineRule="auto"/>
        <w:ind w:firstLine="709"/>
        <w:jc w:val="both"/>
        <w:rPr>
          <w:rFonts w:ascii="Times New Roman" w:hAnsi="Times New Roman" w:cs="Times New Roman"/>
          <w:sz w:val="28"/>
          <w:szCs w:val="28"/>
          <w:lang w:val="uk-UA"/>
        </w:rPr>
      </w:pPr>
      <w:r w:rsidRPr="007D5F8E">
        <w:rPr>
          <w:rFonts w:ascii="Times New Roman" w:hAnsi="Times New Roman" w:cs="Times New Roman"/>
          <w:sz w:val="28"/>
          <w:szCs w:val="28"/>
          <w:lang w:val="uk-UA"/>
        </w:rPr>
        <w:t xml:space="preserve">В місті </w:t>
      </w:r>
      <w:r>
        <w:rPr>
          <w:rFonts w:ascii="Times New Roman" w:hAnsi="Times New Roman" w:cs="Times New Roman"/>
          <w:sz w:val="28"/>
          <w:szCs w:val="28"/>
          <w:lang w:val="uk-UA"/>
        </w:rPr>
        <w:t>функціонує розгалужена культурн</w:t>
      </w:r>
      <w:r w:rsidR="009A7E3E">
        <w:rPr>
          <w:rFonts w:ascii="Times New Roman" w:hAnsi="Times New Roman" w:cs="Times New Roman"/>
          <w:sz w:val="28"/>
          <w:szCs w:val="28"/>
          <w:lang w:val="uk-UA"/>
        </w:rPr>
        <w:t xml:space="preserve">а </w:t>
      </w:r>
      <w:r>
        <w:rPr>
          <w:rFonts w:ascii="Times New Roman" w:hAnsi="Times New Roman" w:cs="Times New Roman"/>
          <w:sz w:val="28"/>
          <w:szCs w:val="28"/>
          <w:lang w:val="uk-UA"/>
        </w:rPr>
        <w:t>інфраструктура.</w:t>
      </w:r>
    </w:p>
    <w:p w:rsidR="00386A02" w:rsidRDefault="001A6ED2" w:rsidP="00386A02">
      <w:pPr>
        <w:ind w:hanging="567"/>
        <w:rPr>
          <w:rFonts w:ascii="Times New Roman" w:hAnsi="Times New Roman" w:cs="Times New Roman"/>
          <w:b/>
          <w:sz w:val="28"/>
          <w:szCs w:val="28"/>
          <w:lang w:val="uk-UA"/>
        </w:rPr>
      </w:pPr>
      <w:r w:rsidRPr="001A6ED2">
        <w:rPr>
          <w:rFonts w:ascii="Times New Roman" w:hAnsi="Times New Roman" w:cs="Times New Roman"/>
          <w:b/>
          <w:noProof/>
          <w:sz w:val="28"/>
          <w:szCs w:val="28"/>
          <w:lang w:eastAsia="ru-RU"/>
        </w:rPr>
        <w:drawing>
          <wp:inline distT="0" distB="0" distL="0" distR="0">
            <wp:extent cx="5591174" cy="5495925"/>
            <wp:effectExtent l="0" t="0" r="0" b="0"/>
            <wp:docPr id="123"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386A02" w:rsidRPr="00F61BBA" w:rsidRDefault="00386A02" w:rsidP="00F01E65">
      <w:pPr>
        <w:spacing w:after="0" w:line="240" w:lineRule="auto"/>
        <w:ind w:firstLine="567"/>
        <w:rPr>
          <w:rFonts w:ascii="Times New Roman" w:hAnsi="Times New Roman" w:cs="Times New Roman"/>
          <w:sz w:val="28"/>
          <w:szCs w:val="28"/>
          <w:lang w:val="uk-UA"/>
        </w:rPr>
      </w:pPr>
      <w:r>
        <w:rPr>
          <w:rFonts w:ascii="Times New Roman" w:hAnsi="Times New Roman" w:cs="Times New Roman"/>
          <w:sz w:val="28"/>
          <w:szCs w:val="28"/>
          <w:lang w:val="uk-UA"/>
        </w:rPr>
        <w:t>П</w:t>
      </w:r>
      <w:r w:rsidRPr="00F61BBA">
        <w:rPr>
          <w:rFonts w:ascii="Times New Roman" w:hAnsi="Times New Roman" w:cs="Times New Roman"/>
          <w:sz w:val="28"/>
          <w:szCs w:val="28"/>
          <w:lang w:val="uk-UA"/>
        </w:rPr>
        <w:t>латформ</w:t>
      </w:r>
      <w:r>
        <w:rPr>
          <w:rFonts w:ascii="Times New Roman" w:hAnsi="Times New Roman" w:cs="Times New Roman"/>
          <w:sz w:val="28"/>
          <w:szCs w:val="28"/>
          <w:lang w:val="uk-UA"/>
        </w:rPr>
        <w:t>ою</w:t>
      </w:r>
      <w:r w:rsidRPr="00F61BBA">
        <w:rPr>
          <w:rFonts w:ascii="Times New Roman" w:hAnsi="Times New Roman" w:cs="Times New Roman"/>
          <w:sz w:val="28"/>
          <w:szCs w:val="28"/>
          <w:lang w:val="uk-UA"/>
        </w:rPr>
        <w:t xml:space="preserve"> для культурного розвитку мешканців міста</w:t>
      </w:r>
      <w:r>
        <w:rPr>
          <w:rFonts w:ascii="Times New Roman" w:hAnsi="Times New Roman" w:cs="Times New Roman"/>
          <w:sz w:val="28"/>
          <w:szCs w:val="28"/>
          <w:lang w:val="uk-UA"/>
        </w:rPr>
        <w:t xml:space="preserve"> є бібліотеки та кінотеатри</w:t>
      </w:r>
      <w:r w:rsidRPr="00F61BBA">
        <w:rPr>
          <w:rFonts w:ascii="Times New Roman" w:hAnsi="Times New Roman" w:cs="Times New Roman"/>
          <w:sz w:val="28"/>
          <w:szCs w:val="28"/>
          <w:lang w:val="uk-UA"/>
        </w:rPr>
        <w:t>.</w:t>
      </w:r>
    </w:p>
    <w:p w:rsidR="00386A02" w:rsidRDefault="00386A02" w:rsidP="00386A02">
      <w:pPr>
        <w:ind w:right="-284" w:hanging="567"/>
        <w:rPr>
          <w:rFonts w:ascii="Times New Roman" w:hAnsi="Times New Roman" w:cs="Times New Roman"/>
          <w:b/>
          <w:sz w:val="28"/>
          <w:szCs w:val="28"/>
          <w:lang w:val="uk-UA"/>
        </w:rPr>
      </w:pPr>
      <w:r w:rsidRPr="00F112D7">
        <w:rPr>
          <w:rFonts w:ascii="Times New Roman" w:hAnsi="Times New Roman" w:cs="Times New Roman"/>
          <w:b/>
          <w:noProof/>
          <w:sz w:val="28"/>
          <w:szCs w:val="28"/>
          <w:lang w:eastAsia="ru-RU"/>
        </w:rPr>
        <w:drawing>
          <wp:inline distT="0" distB="0" distL="0" distR="0">
            <wp:extent cx="3286125" cy="2486025"/>
            <wp:effectExtent l="19050" t="0" r="0" b="0"/>
            <wp:docPr id="3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r w:rsidRPr="00F112D7">
        <w:rPr>
          <w:rFonts w:ascii="Times New Roman" w:hAnsi="Times New Roman" w:cs="Times New Roman"/>
          <w:b/>
          <w:noProof/>
          <w:sz w:val="28"/>
          <w:szCs w:val="28"/>
          <w:lang w:eastAsia="ru-RU"/>
        </w:rPr>
        <w:drawing>
          <wp:inline distT="0" distB="0" distL="0" distR="0">
            <wp:extent cx="3038475" cy="2457450"/>
            <wp:effectExtent l="0" t="0" r="0" b="0"/>
            <wp:docPr id="39"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386A02" w:rsidRPr="005A5E24" w:rsidRDefault="00386A02" w:rsidP="000925E4">
      <w:pPr>
        <w:spacing w:after="0" w:line="240" w:lineRule="auto"/>
        <w:ind w:right="-284" w:firstLine="567"/>
        <w:jc w:val="both"/>
        <w:rPr>
          <w:rFonts w:ascii="Times New Roman" w:hAnsi="Times New Roman" w:cs="Times New Roman"/>
          <w:sz w:val="28"/>
          <w:szCs w:val="28"/>
          <w:lang w:val="uk-UA"/>
        </w:rPr>
      </w:pPr>
      <w:r w:rsidRPr="005A5E24">
        <w:rPr>
          <w:rFonts w:ascii="Times New Roman" w:hAnsi="Times New Roman" w:cs="Times New Roman"/>
          <w:sz w:val="28"/>
          <w:szCs w:val="28"/>
          <w:lang w:val="uk-UA"/>
        </w:rPr>
        <w:lastRenderedPageBreak/>
        <w:t xml:space="preserve">В </w:t>
      </w:r>
      <w:r>
        <w:rPr>
          <w:rFonts w:ascii="Times New Roman" w:hAnsi="Times New Roman" w:cs="Times New Roman"/>
          <w:sz w:val="28"/>
          <w:szCs w:val="28"/>
          <w:lang w:val="uk-UA"/>
        </w:rPr>
        <w:t xml:space="preserve">місті </w:t>
      </w:r>
      <w:r w:rsidRPr="005A5E24">
        <w:rPr>
          <w:rFonts w:ascii="Times New Roman" w:hAnsi="Times New Roman" w:cs="Times New Roman"/>
          <w:sz w:val="28"/>
          <w:szCs w:val="28"/>
          <w:lang w:val="uk-UA"/>
        </w:rPr>
        <w:t>налічується 79 пам’</w:t>
      </w:r>
      <w:r w:rsidRPr="005A5E24">
        <w:rPr>
          <w:rFonts w:ascii="Times New Roman" w:hAnsi="Times New Roman" w:cs="Times New Roman"/>
          <w:sz w:val="28"/>
          <w:szCs w:val="28"/>
        </w:rPr>
        <w:t>яток архітектури</w:t>
      </w:r>
      <w:r>
        <w:rPr>
          <w:rFonts w:ascii="Times New Roman" w:hAnsi="Times New Roman" w:cs="Times New Roman"/>
          <w:sz w:val="28"/>
          <w:szCs w:val="28"/>
          <w:lang w:val="uk-UA"/>
        </w:rPr>
        <w:t xml:space="preserve"> національного</w:t>
      </w:r>
      <w:r w:rsidR="00552903">
        <w:rPr>
          <w:rFonts w:ascii="Times New Roman" w:hAnsi="Times New Roman" w:cs="Times New Roman"/>
          <w:sz w:val="28"/>
          <w:szCs w:val="28"/>
          <w:lang w:val="uk-UA"/>
        </w:rPr>
        <w:t xml:space="preserve"> (6)</w:t>
      </w:r>
      <w:r>
        <w:rPr>
          <w:rFonts w:ascii="Times New Roman" w:hAnsi="Times New Roman" w:cs="Times New Roman"/>
          <w:sz w:val="28"/>
          <w:szCs w:val="28"/>
          <w:lang w:val="uk-UA"/>
        </w:rPr>
        <w:t xml:space="preserve"> та місцевого</w:t>
      </w:r>
      <w:r w:rsidR="00552903">
        <w:rPr>
          <w:rFonts w:ascii="Times New Roman" w:hAnsi="Times New Roman" w:cs="Times New Roman"/>
          <w:sz w:val="28"/>
          <w:szCs w:val="28"/>
          <w:lang w:val="uk-UA"/>
        </w:rPr>
        <w:t xml:space="preserve"> (73)</w:t>
      </w:r>
      <w:r>
        <w:rPr>
          <w:rFonts w:ascii="Times New Roman" w:hAnsi="Times New Roman" w:cs="Times New Roman"/>
          <w:sz w:val="28"/>
          <w:szCs w:val="28"/>
          <w:lang w:val="uk-UA"/>
        </w:rPr>
        <w:t xml:space="preserve"> значення</w:t>
      </w:r>
      <w:r w:rsidRPr="005A5E24">
        <w:rPr>
          <w:rFonts w:ascii="Times New Roman" w:hAnsi="Times New Roman" w:cs="Times New Roman"/>
          <w:sz w:val="28"/>
          <w:szCs w:val="28"/>
          <w:lang w:val="uk-UA"/>
        </w:rPr>
        <w:t>.</w:t>
      </w:r>
    </w:p>
    <w:p w:rsidR="00386A02" w:rsidRDefault="00386A02" w:rsidP="000925E4">
      <w:pPr>
        <w:spacing w:after="0" w:line="240" w:lineRule="auto"/>
        <w:ind w:right="-284" w:firstLine="567"/>
        <w:jc w:val="both"/>
        <w:rPr>
          <w:rFonts w:ascii="Times New Roman" w:hAnsi="Times New Roman" w:cs="Times New Roman"/>
          <w:color w:val="303030"/>
          <w:sz w:val="28"/>
          <w:szCs w:val="28"/>
          <w:lang w:val="uk-UA"/>
        </w:rPr>
      </w:pPr>
      <w:r w:rsidRPr="001E15AE">
        <w:rPr>
          <w:rFonts w:ascii="Times New Roman" w:hAnsi="Times New Roman" w:cs="Times New Roman"/>
          <w:color w:val="303030"/>
          <w:sz w:val="28"/>
          <w:szCs w:val="28"/>
          <w:lang w:val="uk-UA"/>
        </w:rPr>
        <w:t>Важливе місце у системі культури міста займають початкові спеціалізовані мистецькі навчальні заклади, основною метою яких є задоволення потреб громадян, суспільства і держави у початковій мистецькій освіті, виховання найбільш обдарованих дітей і залучення їх до професійного мистецтва.</w:t>
      </w:r>
    </w:p>
    <w:p w:rsidR="00386A02" w:rsidRDefault="008B0073" w:rsidP="00386A02">
      <w:pPr>
        <w:spacing w:after="0" w:line="240" w:lineRule="auto"/>
        <w:ind w:right="-1" w:hanging="426"/>
        <w:rPr>
          <w:rFonts w:ascii="Times New Roman" w:hAnsi="Times New Roman" w:cs="Times New Roman"/>
          <w:color w:val="303030"/>
          <w:sz w:val="28"/>
          <w:szCs w:val="28"/>
          <w:lang w:val="uk-UA"/>
        </w:rPr>
      </w:pPr>
      <w:r w:rsidRPr="008B0073">
        <w:rPr>
          <w:rFonts w:ascii="Times New Roman" w:hAnsi="Times New Roman" w:cs="Times New Roman"/>
          <w:noProof/>
          <w:color w:val="303030"/>
          <w:sz w:val="28"/>
          <w:szCs w:val="28"/>
          <w:lang w:eastAsia="ru-RU"/>
        </w:rPr>
        <w:drawing>
          <wp:inline distT="0" distB="0" distL="0" distR="0">
            <wp:extent cx="6241542" cy="4157472"/>
            <wp:effectExtent l="19050" t="0" r="6858" b="0"/>
            <wp:docPr id="124"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rsidR="00386A02" w:rsidRPr="00901B02" w:rsidRDefault="00386A02" w:rsidP="00923F17">
      <w:pPr>
        <w:spacing w:after="0" w:line="240" w:lineRule="auto"/>
        <w:ind w:right="-1"/>
        <w:rPr>
          <w:rFonts w:ascii="Times New Roman" w:hAnsi="Times New Roman" w:cs="Times New Roman"/>
          <w:color w:val="303030"/>
          <w:sz w:val="28"/>
          <w:szCs w:val="28"/>
          <w:lang w:val="uk-UA"/>
        </w:rPr>
      </w:pPr>
    </w:p>
    <w:p w:rsidR="008F5AB8" w:rsidRPr="008F5AB8" w:rsidRDefault="00386A02" w:rsidP="0014094D">
      <w:pPr>
        <w:spacing w:after="0" w:line="240" w:lineRule="auto"/>
        <w:ind w:right="-284" w:firstLine="567"/>
        <w:rPr>
          <w:rFonts w:ascii="Times New Roman" w:hAnsi="Times New Roman" w:cs="Times New Roman"/>
          <w:b/>
          <w:noProof/>
          <w:sz w:val="16"/>
          <w:szCs w:val="16"/>
          <w:lang w:val="uk-UA" w:eastAsia="ru-RU"/>
        </w:rPr>
      </w:pPr>
      <w:r w:rsidRPr="003317AD">
        <w:rPr>
          <w:rFonts w:ascii="Times New Roman" w:hAnsi="Times New Roman" w:cs="Times New Roman"/>
          <w:sz w:val="28"/>
          <w:szCs w:val="28"/>
          <w:lang w:val="uk-UA"/>
        </w:rPr>
        <w:t>Щороку збільшується кількість проведених культурно-масових заходів</w:t>
      </w:r>
      <w:r>
        <w:rPr>
          <w:rFonts w:ascii="Times New Roman" w:hAnsi="Times New Roman" w:cs="Times New Roman"/>
          <w:sz w:val="28"/>
          <w:szCs w:val="28"/>
          <w:lang w:val="uk-UA"/>
        </w:rPr>
        <w:t xml:space="preserve"> для мешканців та гостей міста.</w:t>
      </w:r>
      <w:r w:rsidR="008F5AB8" w:rsidRPr="008F5AB8">
        <w:rPr>
          <w:rFonts w:ascii="Times New Roman" w:hAnsi="Times New Roman" w:cs="Times New Roman"/>
          <w:b/>
          <w:noProof/>
          <w:sz w:val="28"/>
          <w:szCs w:val="28"/>
          <w:lang w:eastAsia="ru-RU"/>
        </w:rPr>
        <w:t xml:space="preserve"> </w:t>
      </w:r>
    </w:p>
    <w:p w:rsidR="008F5AB8" w:rsidRPr="008F5AB8" w:rsidRDefault="008F5AB8" w:rsidP="008F5AB8">
      <w:pPr>
        <w:ind w:right="-284" w:firstLine="567"/>
        <w:jc w:val="center"/>
        <w:rPr>
          <w:rFonts w:ascii="Times New Roman" w:hAnsi="Times New Roman" w:cs="Times New Roman"/>
          <w:sz w:val="16"/>
          <w:szCs w:val="16"/>
          <w:lang w:val="uk-UA"/>
        </w:rPr>
      </w:pPr>
      <w:r w:rsidRPr="008F5AB8">
        <w:rPr>
          <w:rFonts w:ascii="Times New Roman" w:hAnsi="Times New Roman" w:cs="Times New Roman"/>
          <w:noProof/>
          <w:sz w:val="28"/>
          <w:szCs w:val="28"/>
          <w:lang w:eastAsia="ru-RU"/>
        </w:rPr>
        <w:drawing>
          <wp:inline distT="0" distB="0" distL="0" distR="0">
            <wp:extent cx="5415534" cy="2548128"/>
            <wp:effectExtent l="19050" t="0" r="0" b="0"/>
            <wp:docPr id="32"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386A02" w:rsidRDefault="00DC0C42" w:rsidP="00DC0C42">
      <w:pPr>
        <w:spacing w:after="0" w:line="240" w:lineRule="auto"/>
        <w:ind w:firstLine="567"/>
        <w:rPr>
          <w:rFonts w:ascii="Times New Roman" w:hAnsi="Times New Roman" w:cs="Times New Roman"/>
          <w:sz w:val="28"/>
          <w:szCs w:val="28"/>
          <w:lang w:val="uk-UA"/>
        </w:rPr>
      </w:pPr>
      <w:r>
        <w:rPr>
          <w:rFonts w:ascii="Times New Roman" w:hAnsi="Times New Roman" w:cs="Times New Roman"/>
          <w:sz w:val="28"/>
          <w:szCs w:val="28"/>
          <w:lang w:val="uk-UA"/>
        </w:rPr>
        <w:lastRenderedPageBreak/>
        <w:t>У</w:t>
      </w:r>
      <w:r w:rsidR="0019366B">
        <w:rPr>
          <w:rFonts w:ascii="Times New Roman" w:hAnsi="Times New Roman" w:cs="Times New Roman"/>
          <w:sz w:val="28"/>
          <w:szCs w:val="28"/>
          <w:lang w:val="uk-UA"/>
        </w:rPr>
        <w:t xml:space="preserve"> сфері</w:t>
      </w:r>
      <w:r w:rsidR="00386A02">
        <w:rPr>
          <w:rFonts w:ascii="Times New Roman" w:hAnsi="Times New Roman" w:cs="Times New Roman"/>
          <w:sz w:val="28"/>
          <w:szCs w:val="28"/>
          <w:lang w:val="uk-UA"/>
        </w:rPr>
        <w:t xml:space="preserve"> культури залишаються проблемними питання:</w:t>
      </w:r>
    </w:p>
    <w:p w:rsidR="00386A02" w:rsidRPr="00B43E91" w:rsidRDefault="00386A02" w:rsidP="0029662A">
      <w:pPr>
        <w:pStyle w:val="a3"/>
        <w:numPr>
          <w:ilvl w:val="0"/>
          <w:numId w:val="8"/>
        </w:numPr>
        <w:tabs>
          <w:tab w:val="num" w:pos="1080"/>
        </w:tabs>
        <w:spacing w:after="0" w:line="240" w:lineRule="auto"/>
        <w:ind w:left="1134" w:hanging="425"/>
        <w:jc w:val="both"/>
        <w:rPr>
          <w:rFonts w:ascii="Times New Roman" w:eastAsia="Calibri" w:hAnsi="Times New Roman" w:cs="Times New Roman"/>
          <w:color w:val="000000"/>
          <w:sz w:val="28"/>
          <w:szCs w:val="28"/>
        </w:rPr>
      </w:pPr>
      <w:r w:rsidRPr="00B43E91">
        <w:rPr>
          <w:rFonts w:ascii="Times New Roman" w:eastAsia="Calibri" w:hAnsi="Times New Roman" w:cs="Times New Roman"/>
          <w:color w:val="000000"/>
          <w:sz w:val="28"/>
          <w:szCs w:val="28"/>
        </w:rPr>
        <w:t>відсутність вільних приміщень для організації роботи підготов</w:t>
      </w:r>
      <w:r>
        <w:rPr>
          <w:rFonts w:ascii="Times New Roman" w:eastAsia="Calibri" w:hAnsi="Times New Roman" w:cs="Times New Roman"/>
          <w:color w:val="000000"/>
          <w:sz w:val="28"/>
          <w:szCs w:val="28"/>
        </w:rPr>
        <w:t>чих груп КПСМНЗ музичних шкіл №</w:t>
      </w:r>
      <w:r w:rsidRPr="00B43E91">
        <w:rPr>
          <w:rFonts w:ascii="Times New Roman" w:eastAsia="Calibri" w:hAnsi="Times New Roman" w:cs="Times New Roman"/>
          <w:color w:val="000000"/>
          <w:sz w:val="28"/>
          <w:szCs w:val="28"/>
        </w:rPr>
        <w:t>1-5 для підготовки до вступ</w:t>
      </w:r>
      <w:r>
        <w:rPr>
          <w:rFonts w:ascii="Times New Roman" w:eastAsia="Calibri" w:hAnsi="Times New Roman" w:cs="Times New Roman"/>
          <w:color w:val="000000"/>
          <w:sz w:val="28"/>
          <w:szCs w:val="28"/>
        </w:rPr>
        <w:t>у в школи естетичного виховання та для подальшого розвитку аматорських колективів КЗ «Палац культури»;</w:t>
      </w:r>
    </w:p>
    <w:p w:rsidR="00386A02" w:rsidRPr="00A31F66" w:rsidRDefault="00386A02" w:rsidP="0029662A">
      <w:pPr>
        <w:numPr>
          <w:ilvl w:val="0"/>
          <w:numId w:val="8"/>
        </w:numPr>
        <w:tabs>
          <w:tab w:val="num" w:pos="1080"/>
        </w:tabs>
        <w:spacing w:after="0" w:line="240" w:lineRule="auto"/>
        <w:ind w:left="1134" w:hanging="425"/>
        <w:jc w:val="both"/>
        <w:rPr>
          <w:rFonts w:ascii="Times New Roman" w:eastAsia="Calibri" w:hAnsi="Times New Roman" w:cs="Times New Roman"/>
          <w:color w:val="000000"/>
          <w:sz w:val="28"/>
          <w:szCs w:val="28"/>
          <w:lang w:val="uk-UA"/>
        </w:rPr>
      </w:pPr>
      <w:r w:rsidRPr="00A31F66">
        <w:rPr>
          <w:rFonts w:ascii="Times New Roman" w:eastAsia="Calibri" w:hAnsi="Times New Roman" w:cs="Times New Roman"/>
          <w:color w:val="000000"/>
          <w:sz w:val="28"/>
          <w:szCs w:val="28"/>
          <w:lang w:val="uk-UA"/>
        </w:rPr>
        <w:t>низька конкурентоспроможність комунальних підприємств та закладів сфери культури, і як наслідок, зниження попиту на їх послуги серед населення;</w:t>
      </w:r>
    </w:p>
    <w:p w:rsidR="00386A02" w:rsidRDefault="00386A02" w:rsidP="0029662A">
      <w:pPr>
        <w:pStyle w:val="a3"/>
        <w:numPr>
          <w:ilvl w:val="0"/>
          <w:numId w:val="8"/>
        </w:numPr>
        <w:spacing w:after="0" w:line="240" w:lineRule="auto"/>
        <w:ind w:left="1134" w:hanging="425"/>
        <w:jc w:val="both"/>
        <w:rPr>
          <w:rFonts w:ascii="Times New Roman" w:hAnsi="Times New Roman" w:cs="Times New Roman"/>
          <w:sz w:val="28"/>
          <w:szCs w:val="28"/>
          <w:lang w:val="uk-UA"/>
        </w:rPr>
      </w:pPr>
      <w:r>
        <w:rPr>
          <w:rFonts w:ascii="Times New Roman" w:hAnsi="Times New Roman" w:cs="Times New Roman"/>
          <w:sz w:val="28"/>
          <w:szCs w:val="28"/>
          <w:lang w:val="uk-UA"/>
        </w:rPr>
        <w:t>відсутність професійних кадрів та недостатній рівень знань з культурного маркетингу, менеджменту, фандрайзингу, стратегічного планування і, як наслідок, відсутність бачення розвитку кожного з закладів культури міста.</w:t>
      </w:r>
    </w:p>
    <w:p w:rsidR="00EC4671" w:rsidRDefault="00EC4671" w:rsidP="00E21A71">
      <w:pPr>
        <w:tabs>
          <w:tab w:val="left" w:pos="0"/>
        </w:tabs>
        <w:spacing w:after="0" w:line="240" w:lineRule="auto"/>
        <w:jc w:val="both"/>
        <w:rPr>
          <w:rFonts w:ascii="Times New Roman" w:hAnsi="Times New Roman" w:cs="Times New Roman"/>
          <w:b/>
          <w:color w:val="000000" w:themeColor="text1"/>
          <w:sz w:val="28"/>
          <w:szCs w:val="28"/>
          <w:lang w:val="uk-UA"/>
        </w:rPr>
      </w:pPr>
    </w:p>
    <w:p w:rsidR="00FF3334" w:rsidRDefault="00FF3334" w:rsidP="00FF3334">
      <w:pPr>
        <w:spacing w:after="0" w:line="240" w:lineRule="auto"/>
        <w:rPr>
          <w:rFonts w:ascii="Times New Roman" w:hAnsi="Times New Roman" w:cs="Times New Roman"/>
          <w:b/>
          <w:sz w:val="28"/>
          <w:szCs w:val="28"/>
          <w:lang w:val="uk-UA"/>
        </w:rPr>
      </w:pPr>
      <w:r w:rsidRPr="00697DAF">
        <w:rPr>
          <w:rFonts w:ascii="Times New Roman" w:hAnsi="Times New Roman" w:cs="Times New Roman"/>
          <w:b/>
          <w:sz w:val="28"/>
          <w:szCs w:val="28"/>
          <w:lang w:val="uk-UA"/>
        </w:rPr>
        <w:t>Молодіжна та сімейна політика</w:t>
      </w:r>
    </w:p>
    <w:p w:rsidR="00FF3334" w:rsidRPr="00FF3334" w:rsidRDefault="00FF3334" w:rsidP="00F01E65">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b/>
          <w:sz w:val="28"/>
          <w:szCs w:val="28"/>
          <w:lang w:val="uk-UA"/>
        </w:rPr>
        <w:tab/>
      </w:r>
      <w:r w:rsidRPr="00914700">
        <w:rPr>
          <w:rFonts w:ascii="Times New Roman" w:hAnsi="Times New Roman" w:cs="Times New Roman"/>
          <w:sz w:val="28"/>
          <w:szCs w:val="28"/>
          <w:lang w:val="uk-UA"/>
        </w:rPr>
        <w:t xml:space="preserve">У місті налічується </w:t>
      </w:r>
      <w:r>
        <w:rPr>
          <w:rFonts w:ascii="Times New Roman" w:hAnsi="Times New Roman" w:cs="Times New Roman"/>
          <w:sz w:val="28"/>
          <w:szCs w:val="28"/>
          <w:lang w:val="uk-UA"/>
        </w:rPr>
        <w:t>8930 сімей, які перебувають у складних життєвих обставинах, з них 845 сімей перебувають на обліку у міському Центрі соціальних служб для сім</w:t>
      </w:r>
      <w:r w:rsidRPr="00FF3334">
        <w:rPr>
          <w:rFonts w:ascii="Times New Roman" w:hAnsi="Times New Roman" w:cs="Times New Roman"/>
          <w:sz w:val="28"/>
          <w:szCs w:val="28"/>
          <w:lang w:val="uk-UA"/>
        </w:rPr>
        <w:t>’</w:t>
      </w:r>
      <w:r>
        <w:rPr>
          <w:rFonts w:ascii="Times New Roman" w:hAnsi="Times New Roman" w:cs="Times New Roman"/>
          <w:sz w:val="28"/>
          <w:szCs w:val="28"/>
          <w:lang w:val="uk-UA"/>
        </w:rPr>
        <w:t xml:space="preserve">ї, дітей та молоді. </w:t>
      </w:r>
    </w:p>
    <w:p w:rsidR="00FF3334" w:rsidRPr="00FF3334" w:rsidRDefault="00FF3334" w:rsidP="00FF3334">
      <w:pPr>
        <w:spacing w:after="0" w:line="240" w:lineRule="auto"/>
        <w:rPr>
          <w:rFonts w:ascii="Times New Roman" w:hAnsi="Times New Roman" w:cs="Times New Roman"/>
          <w:sz w:val="20"/>
          <w:szCs w:val="20"/>
          <w:lang w:val="uk-UA"/>
        </w:rPr>
      </w:pPr>
    </w:p>
    <w:p w:rsidR="00FF3334" w:rsidRPr="006A2347" w:rsidRDefault="00FF3334" w:rsidP="00FF3334">
      <w:pPr>
        <w:spacing w:after="0" w:line="240" w:lineRule="auto"/>
        <w:jc w:val="center"/>
        <w:rPr>
          <w:rFonts w:ascii="Times New Roman" w:hAnsi="Times New Roman" w:cs="Times New Roman"/>
          <w:sz w:val="28"/>
          <w:szCs w:val="28"/>
          <w:lang w:val="en-US"/>
        </w:rPr>
      </w:pPr>
      <w:r>
        <w:rPr>
          <w:noProof/>
          <w:lang w:eastAsia="ru-RU"/>
        </w:rPr>
        <w:drawing>
          <wp:inline distT="0" distB="0" distL="0" distR="0">
            <wp:extent cx="4318000" cy="2228850"/>
            <wp:effectExtent l="0" t="0" r="6350" b="0"/>
            <wp:docPr id="94"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rsidR="00FF3334" w:rsidRDefault="00FF3334" w:rsidP="00FF3334">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uk-UA"/>
        </w:rPr>
        <w:tab/>
      </w:r>
    </w:p>
    <w:p w:rsidR="00FF3334" w:rsidRDefault="00FF3334" w:rsidP="00F01E65">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Сім</w:t>
      </w:r>
      <w:r w:rsidRPr="00C11C8D">
        <w:rPr>
          <w:rFonts w:ascii="Times New Roman" w:hAnsi="Times New Roman" w:cs="Times New Roman"/>
          <w:sz w:val="28"/>
          <w:szCs w:val="28"/>
        </w:rPr>
        <w:t>’</w:t>
      </w:r>
      <w:r>
        <w:rPr>
          <w:rFonts w:ascii="Times New Roman" w:hAnsi="Times New Roman" w:cs="Times New Roman"/>
          <w:sz w:val="28"/>
          <w:szCs w:val="28"/>
          <w:lang w:val="uk-UA"/>
        </w:rPr>
        <w:t xml:space="preserve">ям, які перебувають у складних життєвих обставинах </w:t>
      </w:r>
      <w:r w:rsidR="009172C9">
        <w:rPr>
          <w:rFonts w:ascii="Times New Roman" w:hAnsi="Times New Roman" w:cs="Times New Roman"/>
          <w:sz w:val="28"/>
          <w:szCs w:val="28"/>
          <w:lang w:val="uk-UA"/>
        </w:rPr>
        <w:t xml:space="preserve">протягом 9 місяців 2017 року </w:t>
      </w:r>
      <w:r>
        <w:rPr>
          <w:rFonts w:ascii="Times New Roman" w:hAnsi="Times New Roman" w:cs="Times New Roman"/>
          <w:sz w:val="28"/>
          <w:szCs w:val="28"/>
          <w:lang w:val="uk-UA"/>
        </w:rPr>
        <w:t>надано 29020 соціальних послуг.</w:t>
      </w:r>
    </w:p>
    <w:p w:rsidR="00FF3334" w:rsidRDefault="00FF3334" w:rsidP="00FF3334">
      <w:pPr>
        <w:spacing w:after="0" w:line="240" w:lineRule="auto"/>
        <w:jc w:val="center"/>
        <w:rPr>
          <w:rFonts w:ascii="Times New Roman" w:hAnsi="Times New Roman" w:cs="Times New Roman"/>
          <w:sz w:val="28"/>
          <w:szCs w:val="28"/>
          <w:lang w:val="uk-UA"/>
        </w:rPr>
      </w:pPr>
      <w:r>
        <w:rPr>
          <w:noProof/>
          <w:lang w:eastAsia="ru-RU"/>
        </w:rPr>
        <w:drawing>
          <wp:inline distT="0" distB="0" distL="0" distR="0">
            <wp:extent cx="4419600" cy="2127250"/>
            <wp:effectExtent l="0" t="0" r="0" b="0"/>
            <wp:docPr id="95"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rsidR="00FF3334" w:rsidRDefault="00FF3334" w:rsidP="00F01E65">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Соціальним супроводом охоплено 118 таких сімей, 69 сімей знято із соціального супроводу з позитивним результатом.</w:t>
      </w:r>
    </w:p>
    <w:p w:rsidR="00FF3334" w:rsidRDefault="00FF3334" w:rsidP="00FF3334">
      <w:pPr>
        <w:spacing w:after="0" w:line="240" w:lineRule="auto"/>
        <w:jc w:val="center"/>
        <w:rPr>
          <w:rFonts w:ascii="Times New Roman" w:hAnsi="Times New Roman" w:cs="Times New Roman"/>
          <w:sz w:val="28"/>
          <w:szCs w:val="28"/>
          <w:lang w:val="uk-UA"/>
        </w:rPr>
      </w:pPr>
      <w:r>
        <w:rPr>
          <w:noProof/>
          <w:lang w:eastAsia="ru-RU"/>
        </w:rPr>
        <w:lastRenderedPageBreak/>
        <w:drawing>
          <wp:inline distT="0" distB="0" distL="0" distR="0">
            <wp:extent cx="4191000" cy="2647950"/>
            <wp:effectExtent l="0" t="0" r="0" b="0"/>
            <wp:docPr id="96"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rsidR="00923F17" w:rsidRDefault="00923F17" w:rsidP="00FF3334">
      <w:pPr>
        <w:spacing w:after="0" w:line="240" w:lineRule="auto"/>
        <w:jc w:val="center"/>
        <w:rPr>
          <w:rFonts w:ascii="Times New Roman" w:hAnsi="Times New Roman" w:cs="Times New Roman"/>
          <w:sz w:val="28"/>
          <w:szCs w:val="28"/>
          <w:lang w:val="uk-UA"/>
        </w:rPr>
      </w:pPr>
    </w:p>
    <w:p w:rsidR="008F5AB8" w:rsidRDefault="008F5AB8" w:rsidP="00FF3334">
      <w:pPr>
        <w:spacing w:after="0" w:line="240" w:lineRule="auto"/>
        <w:jc w:val="center"/>
        <w:rPr>
          <w:rFonts w:ascii="Times New Roman" w:hAnsi="Times New Roman" w:cs="Times New Roman"/>
          <w:sz w:val="28"/>
          <w:szCs w:val="28"/>
          <w:lang w:val="uk-UA"/>
        </w:rPr>
      </w:pPr>
    </w:p>
    <w:p w:rsidR="00FF3334" w:rsidRDefault="00FF3334" w:rsidP="00F01E65">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Міський Центр соціальних служб для сім</w:t>
      </w:r>
      <w:r w:rsidRPr="00F77748">
        <w:rPr>
          <w:rFonts w:ascii="Times New Roman" w:hAnsi="Times New Roman" w:cs="Times New Roman"/>
          <w:sz w:val="28"/>
          <w:szCs w:val="28"/>
          <w:lang w:val="uk-UA"/>
        </w:rPr>
        <w:t>’</w:t>
      </w:r>
      <w:r>
        <w:rPr>
          <w:rFonts w:ascii="Times New Roman" w:hAnsi="Times New Roman" w:cs="Times New Roman"/>
          <w:sz w:val="28"/>
          <w:szCs w:val="28"/>
          <w:lang w:val="uk-UA"/>
        </w:rPr>
        <w:t>ї, дітей та молоді здійснює соціальний супровід 14 прийомних сімей, у яких виховується 19 дітей.</w:t>
      </w:r>
    </w:p>
    <w:p w:rsidR="00FF3334" w:rsidRDefault="00FF3334" w:rsidP="00FF3334">
      <w:pPr>
        <w:spacing w:after="0" w:line="240" w:lineRule="auto"/>
        <w:jc w:val="center"/>
        <w:rPr>
          <w:rFonts w:ascii="Times New Roman" w:hAnsi="Times New Roman" w:cs="Times New Roman"/>
          <w:sz w:val="28"/>
          <w:szCs w:val="28"/>
          <w:lang w:val="uk-UA"/>
        </w:rPr>
      </w:pPr>
      <w:r>
        <w:rPr>
          <w:noProof/>
          <w:lang w:eastAsia="ru-RU"/>
        </w:rPr>
        <w:drawing>
          <wp:inline distT="0" distB="0" distL="0" distR="0">
            <wp:extent cx="4362450" cy="2387600"/>
            <wp:effectExtent l="0" t="0" r="0" b="0"/>
            <wp:docPr id="97"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rsidR="00FF3334" w:rsidRDefault="00FF3334" w:rsidP="00F01E65">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Під соціальним супроводом Центру перебуває 5 будинків сімейного типу, у яких виховується 39 дітей.</w:t>
      </w:r>
    </w:p>
    <w:p w:rsidR="00F01E65" w:rsidRDefault="00F01E65" w:rsidP="00F01E65">
      <w:pPr>
        <w:spacing w:after="0" w:line="240" w:lineRule="auto"/>
        <w:ind w:firstLine="567"/>
        <w:jc w:val="both"/>
        <w:rPr>
          <w:rFonts w:ascii="Times New Roman" w:hAnsi="Times New Roman" w:cs="Times New Roman"/>
          <w:sz w:val="28"/>
          <w:szCs w:val="28"/>
          <w:lang w:val="uk-UA"/>
        </w:rPr>
      </w:pPr>
    </w:p>
    <w:p w:rsidR="00FF3334" w:rsidRPr="00C11C8D" w:rsidRDefault="00FF3334" w:rsidP="00FF3334">
      <w:pPr>
        <w:spacing w:after="0" w:line="240" w:lineRule="auto"/>
        <w:jc w:val="center"/>
        <w:rPr>
          <w:rFonts w:ascii="Times New Roman" w:hAnsi="Times New Roman" w:cs="Times New Roman"/>
          <w:sz w:val="28"/>
          <w:szCs w:val="28"/>
          <w:lang w:val="uk-UA"/>
        </w:rPr>
      </w:pPr>
      <w:r>
        <w:rPr>
          <w:noProof/>
          <w:lang w:eastAsia="ru-RU"/>
        </w:rPr>
        <w:drawing>
          <wp:inline distT="0" distB="0" distL="0" distR="0">
            <wp:extent cx="4349750" cy="2406650"/>
            <wp:effectExtent l="19050" t="0" r="0" b="0"/>
            <wp:docPr id="98"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rsidR="00FF3334" w:rsidRDefault="00FF3334" w:rsidP="00F01E65">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В місті функціонує 22 підліткових клуб</w:t>
      </w:r>
      <w:r w:rsidR="00072F10">
        <w:rPr>
          <w:rFonts w:ascii="Times New Roman" w:hAnsi="Times New Roman" w:cs="Times New Roman"/>
          <w:sz w:val="28"/>
          <w:szCs w:val="28"/>
          <w:lang w:val="uk-UA"/>
        </w:rPr>
        <w:t>и</w:t>
      </w:r>
      <w:r>
        <w:rPr>
          <w:rFonts w:ascii="Times New Roman" w:hAnsi="Times New Roman" w:cs="Times New Roman"/>
          <w:sz w:val="28"/>
          <w:szCs w:val="28"/>
          <w:lang w:val="uk-UA"/>
        </w:rPr>
        <w:t>, в яких займаються 2017 дітей.</w:t>
      </w:r>
    </w:p>
    <w:p w:rsidR="00FF3334" w:rsidRDefault="00FF3334" w:rsidP="00FF3334">
      <w:pPr>
        <w:jc w:val="center"/>
        <w:rPr>
          <w:rFonts w:ascii="Times New Roman" w:hAnsi="Times New Roman" w:cs="Times New Roman"/>
          <w:sz w:val="28"/>
          <w:szCs w:val="28"/>
          <w:lang w:val="uk-UA"/>
        </w:rPr>
      </w:pPr>
      <w:r>
        <w:rPr>
          <w:noProof/>
          <w:lang w:eastAsia="ru-RU"/>
        </w:rPr>
        <w:drawing>
          <wp:inline distT="0" distB="0" distL="0" distR="0">
            <wp:extent cx="4400550" cy="2489200"/>
            <wp:effectExtent l="0" t="0" r="0" b="6350"/>
            <wp:docPr id="9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rsidR="00FF3334" w:rsidRDefault="00FF3334" w:rsidP="00F01E65">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З метою підтримки творчих ініціатив молоді організовано співпрацю з 22 громадськими організаціями, проведено 100 молодіжних заходів та реалізовано 60 проектів, спрямованих на соціальний розвиток молоді.</w:t>
      </w:r>
    </w:p>
    <w:p w:rsidR="00FF3334" w:rsidRDefault="00FF3334" w:rsidP="00FF3334">
      <w:pPr>
        <w:spacing w:after="0" w:line="240" w:lineRule="auto"/>
        <w:jc w:val="both"/>
        <w:rPr>
          <w:rFonts w:ascii="Times New Roman" w:hAnsi="Times New Roman" w:cs="Times New Roman"/>
          <w:sz w:val="28"/>
          <w:szCs w:val="28"/>
          <w:lang w:val="uk-UA"/>
        </w:rPr>
      </w:pPr>
    </w:p>
    <w:p w:rsidR="00FF3334" w:rsidRDefault="00FF3334" w:rsidP="00FF3334">
      <w:pPr>
        <w:spacing w:after="0" w:line="240" w:lineRule="auto"/>
        <w:ind w:hanging="567"/>
        <w:jc w:val="both"/>
        <w:rPr>
          <w:rFonts w:ascii="Times New Roman" w:hAnsi="Times New Roman" w:cs="Times New Roman"/>
          <w:sz w:val="28"/>
          <w:szCs w:val="28"/>
          <w:lang w:val="uk-UA"/>
        </w:rPr>
      </w:pPr>
      <w:r>
        <w:rPr>
          <w:noProof/>
          <w:lang w:eastAsia="ru-RU"/>
        </w:rPr>
        <w:drawing>
          <wp:inline distT="0" distB="0" distL="0" distR="0">
            <wp:extent cx="3206496" cy="2060448"/>
            <wp:effectExtent l="0" t="0" r="0" b="0"/>
            <wp:docPr id="100"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r>
        <w:rPr>
          <w:noProof/>
          <w:lang w:eastAsia="ru-RU"/>
        </w:rPr>
        <w:drawing>
          <wp:inline distT="0" distB="0" distL="0" distR="0">
            <wp:extent cx="2724150" cy="2051050"/>
            <wp:effectExtent l="0" t="0" r="0" b="6350"/>
            <wp:docPr id="101"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rsidR="00FF3334" w:rsidRDefault="00FF3334" w:rsidP="00FF3334">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r>
    </w:p>
    <w:p w:rsidR="00FF3334" w:rsidRDefault="00FF3334" w:rsidP="00FF3334">
      <w:pPr>
        <w:spacing w:after="0" w:line="240" w:lineRule="auto"/>
        <w:ind w:firstLine="708"/>
        <w:jc w:val="both"/>
        <w:rPr>
          <w:rFonts w:ascii="Times New Roman" w:hAnsi="Times New Roman" w:cs="Times New Roman"/>
          <w:sz w:val="28"/>
          <w:szCs w:val="28"/>
          <w:lang w:val="uk-UA"/>
        </w:rPr>
      </w:pPr>
    </w:p>
    <w:p w:rsidR="00FF3334" w:rsidRDefault="00FF3334" w:rsidP="00FF3334">
      <w:pPr>
        <w:spacing w:after="0" w:line="240" w:lineRule="auto"/>
        <w:ind w:firstLine="708"/>
        <w:jc w:val="center"/>
        <w:rPr>
          <w:rFonts w:ascii="Times New Roman" w:hAnsi="Times New Roman" w:cs="Times New Roman"/>
          <w:sz w:val="28"/>
          <w:szCs w:val="28"/>
          <w:lang w:val="uk-UA"/>
        </w:rPr>
      </w:pPr>
      <w:r>
        <w:rPr>
          <w:noProof/>
          <w:lang w:eastAsia="ru-RU"/>
        </w:rPr>
        <w:drawing>
          <wp:inline distT="0" distB="0" distL="0" distR="0">
            <wp:extent cx="4292600" cy="2527300"/>
            <wp:effectExtent l="0" t="0" r="0" b="6350"/>
            <wp:docPr id="102"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rsidR="00FF3334" w:rsidRDefault="00FF3334" w:rsidP="00F01E65">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Кращим студентам вищих навчальних закладів міста вручено 25 стипендій міського голови.</w:t>
      </w:r>
    </w:p>
    <w:p w:rsidR="00FF3334" w:rsidRDefault="00FF3334" w:rsidP="00FF3334">
      <w:pPr>
        <w:spacing w:after="0" w:line="240" w:lineRule="auto"/>
        <w:ind w:firstLine="708"/>
        <w:jc w:val="both"/>
        <w:rPr>
          <w:rFonts w:ascii="Times New Roman" w:hAnsi="Times New Roman" w:cs="Times New Roman"/>
          <w:sz w:val="28"/>
          <w:szCs w:val="28"/>
          <w:lang w:val="uk-UA"/>
        </w:rPr>
      </w:pPr>
    </w:p>
    <w:p w:rsidR="00FF3334" w:rsidRDefault="00FF3334" w:rsidP="00FF3334">
      <w:pPr>
        <w:jc w:val="center"/>
        <w:rPr>
          <w:rFonts w:ascii="Times New Roman" w:hAnsi="Times New Roman" w:cs="Times New Roman"/>
          <w:sz w:val="28"/>
          <w:szCs w:val="28"/>
          <w:lang w:val="uk-UA"/>
        </w:rPr>
      </w:pPr>
      <w:r>
        <w:rPr>
          <w:noProof/>
          <w:lang w:eastAsia="ru-RU"/>
        </w:rPr>
        <w:drawing>
          <wp:inline distT="0" distB="0" distL="0" distR="0">
            <wp:extent cx="4534789" cy="2261616"/>
            <wp:effectExtent l="19050" t="0" r="0" b="0"/>
            <wp:docPr id="10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rsidR="00FF3334" w:rsidRDefault="00FF3334" w:rsidP="00F01E65">
      <w:pPr>
        <w:tabs>
          <w:tab w:val="left" w:pos="567"/>
        </w:tabs>
        <w:rPr>
          <w:rFonts w:ascii="Times New Roman" w:hAnsi="Times New Roman" w:cs="Times New Roman"/>
          <w:sz w:val="28"/>
          <w:szCs w:val="28"/>
          <w:lang w:val="uk-UA"/>
        </w:rPr>
      </w:pPr>
      <w:r>
        <w:rPr>
          <w:rFonts w:ascii="Times New Roman" w:hAnsi="Times New Roman" w:cs="Times New Roman"/>
          <w:sz w:val="28"/>
          <w:szCs w:val="28"/>
          <w:lang w:val="uk-UA"/>
        </w:rPr>
        <w:tab/>
        <w:t>Для обдарованої молоді виділено два гранти міського голови.</w:t>
      </w:r>
    </w:p>
    <w:p w:rsidR="00FF3334" w:rsidRDefault="00FF3334" w:rsidP="00F01E65">
      <w:pPr>
        <w:tabs>
          <w:tab w:val="left" w:pos="567"/>
        </w:tabs>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В міському таборі «Супутник» оздоровлено 900 дітей, охоплено відпочинком в пришкільних таборах 1672 дитини.</w:t>
      </w:r>
    </w:p>
    <w:p w:rsidR="008F5AB8" w:rsidRPr="008F5AB8" w:rsidRDefault="008F5AB8" w:rsidP="00F01E65">
      <w:pPr>
        <w:tabs>
          <w:tab w:val="left" w:pos="567"/>
        </w:tabs>
        <w:spacing w:after="0" w:line="240" w:lineRule="auto"/>
        <w:jc w:val="both"/>
        <w:rPr>
          <w:rFonts w:ascii="Times New Roman" w:hAnsi="Times New Roman" w:cs="Times New Roman"/>
          <w:sz w:val="16"/>
          <w:szCs w:val="16"/>
          <w:vertAlign w:val="superscript"/>
          <w:lang w:val="uk-UA"/>
        </w:rPr>
      </w:pPr>
    </w:p>
    <w:p w:rsidR="00FF3334" w:rsidRDefault="00FF3334" w:rsidP="00FF3334">
      <w:pPr>
        <w:spacing w:after="0" w:line="240" w:lineRule="auto"/>
        <w:jc w:val="center"/>
        <w:rPr>
          <w:rFonts w:ascii="Times New Roman" w:hAnsi="Times New Roman" w:cs="Times New Roman"/>
          <w:sz w:val="28"/>
          <w:szCs w:val="28"/>
          <w:lang w:val="uk-UA"/>
        </w:rPr>
      </w:pPr>
      <w:r>
        <w:rPr>
          <w:noProof/>
          <w:lang w:eastAsia="ru-RU"/>
        </w:rPr>
        <w:drawing>
          <wp:inline distT="0" distB="0" distL="0" distR="0">
            <wp:extent cx="4295775" cy="2486025"/>
            <wp:effectExtent l="0" t="0" r="0" b="0"/>
            <wp:docPr id="105"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rsidR="00FF3334" w:rsidRDefault="00C83070" w:rsidP="00A85873">
      <w:pPr>
        <w:spacing w:after="0" w:line="240" w:lineRule="auto"/>
        <w:ind w:firstLine="567"/>
        <w:rPr>
          <w:rFonts w:ascii="Times New Roman" w:hAnsi="Times New Roman" w:cs="Times New Roman"/>
          <w:sz w:val="28"/>
          <w:szCs w:val="28"/>
          <w:lang w:val="uk-UA"/>
        </w:rPr>
      </w:pPr>
      <w:r>
        <w:rPr>
          <w:rFonts w:ascii="Times New Roman" w:hAnsi="Times New Roman" w:cs="Times New Roman"/>
          <w:sz w:val="28"/>
          <w:szCs w:val="28"/>
          <w:lang w:val="uk-UA"/>
        </w:rPr>
        <w:t>Невирішеними залишаються наступні проблеми:</w:t>
      </w:r>
    </w:p>
    <w:p w:rsidR="00C83070" w:rsidRDefault="00C83070" w:rsidP="00A85873">
      <w:pPr>
        <w:pStyle w:val="a3"/>
        <w:numPr>
          <w:ilvl w:val="0"/>
          <w:numId w:val="8"/>
        </w:numPr>
        <w:spacing w:after="0" w:line="240" w:lineRule="auto"/>
        <w:ind w:left="1134" w:hanging="425"/>
        <w:rPr>
          <w:rFonts w:ascii="Times New Roman" w:hAnsi="Times New Roman" w:cs="Times New Roman"/>
          <w:sz w:val="28"/>
          <w:szCs w:val="28"/>
          <w:lang w:val="uk-UA"/>
        </w:rPr>
      </w:pPr>
      <w:r>
        <w:rPr>
          <w:rFonts w:ascii="Times New Roman" w:hAnsi="Times New Roman" w:cs="Times New Roman"/>
          <w:sz w:val="28"/>
          <w:szCs w:val="28"/>
          <w:lang w:val="uk-UA"/>
        </w:rPr>
        <w:t>низький рівень громадської активності молоді у процесах формування та реалізації місцевої молодіжної політики;</w:t>
      </w:r>
    </w:p>
    <w:p w:rsidR="00C83070" w:rsidRDefault="00C83070" w:rsidP="00A85873">
      <w:pPr>
        <w:pStyle w:val="a3"/>
        <w:numPr>
          <w:ilvl w:val="0"/>
          <w:numId w:val="8"/>
        </w:numPr>
        <w:spacing w:after="0" w:line="240" w:lineRule="auto"/>
        <w:ind w:left="1134" w:hanging="425"/>
        <w:rPr>
          <w:rFonts w:ascii="Times New Roman" w:hAnsi="Times New Roman" w:cs="Times New Roman"/>
          <w:sz w:val="28"/>
          <w:szCs w:val="28"/>
          <w:lang w:val="uk-UA"/>
        </w:rPr>
      </w:pPr>
      <w:r>
        <w:rPr>
          <w:rFonts w:ascii="Times New Roman" w:hAnsi="Times New Roman" w:cs="Times New Roman"/>
          <w:sz w:val="28"/>
          <w:szCs w:val="28"/>
          <w:lang w:val="uk-UA"/>
        </w:rPr>
        <w:t>поширення негативних явищ у молодіжному середовищі (ВІЛ/СНІДу, наркоманії та тютюнопаління);</w:t>
      </w:r>
    </w:p>
    <w:p w:rsidR="00C83070" w:rsidRDefault="00C83070" w:rsidP="00A85873">
      <w:pPr>
        <w:pStyle w:val="a3"/>
        <w:numPr>
          <w:ilvl w:val="0"/>
          <w:numId w:val="8"/>
        </w:numPr>
        <w:spacing w:after="0" w:line="240" w:lineRule="auto"/>
        <w:ind w:left="1134" w:hanging="425"/>
        <w:rPr>
          <w:rFonts w:ascii="Times New Roman" w:hAnsi="Times New Roman" w:cs="Times New Roman"/>
          <w:sz w:val="28"/>
          <w:szCs w:val="28"/>
          <w:lang w:val="uk-UA"/>
        </w:rPr>
      </w:pPr>
      <w:r>
        <w:rPr>
          <w:rFonts w:ascii="Times New Roman" w:hAnsi="Times New Roman" w:cs="Times New Roman"/>
          <w:sz w:val="28"/>
          <w:szCs w:val="28"/>
          <w:lang w:val="uk-UA"/>
        </w:rPr>
        <w:t>низький рівень культури, сімейних стосунків, формування та розвитку сімейних цінностей та утвердження відповідального батьківства;</w:t>
      </w:r>
    </w:p>
    <w:p w:rsidR="00C83070" w:rsidRPr="00C83070" w:rsidRDefault="00C83070" w:rsidP="00A85873">
      <w:pPr>
        <w:pStyle w:val="a3"/>
        <w:numPr>
          <w:ilvl w:val="0"/>
          <w:numId w:val="8"/>
        </w:numPr>
        <w:spacing w:after="0" w:line="240" w:lineRule="auto"/>
        <w:ind w:left="1134" w:hanging="425"/>
        <w:rPr>
          <w:rFonts w:ascii="Times New Roman" w:hAnsi="Times New Roman" w:cs="Times New Roman"/>
          <w:sz w:val="28"/>
          <w:szCs w:val="28"/>
          <w:lang w:val="uk-UA"/>
        </w:rPr>
      </w:pPr>
      <w:r>
        <w:rPr>
          <w:rFonts w:ascii="Times New Roman" w:hAnsi="Times New Roman" w:cs="Times New Roman"/>
          <w:sz w:val="28"/>
          <w:szCs w:val="28"/>
          <w:lang w:val="uk-UA"/>
        </w:rPr>
        <w:t>поширення явища насильства в сім’</w:t>
      </w:r>
      <w:r w:rsidRPr="00C83070">
        <w:rPr>
          <w:rFonts w:ascii="Times New Roman" w:hAnsi="Times New Roman" w:cs="Times New Roman"/>
          <w:sz w:val="28"/>
          <w:szCs w:val="28"/>
        </w:rPr>
        <w:t>ї;</w:t>
      </w:r>
    </w:p>
    <w:p w:rsidR="00C83070" w:rsidRDefault="00C83070" w:rsidP="00A85873">
      <w:pPr>
        <w:pStyle w:val="a3"/>
        <w:numPr>
          <w:ilvl w:val="0"/>
          <w:numId w:val="8"/>
        </w:numPr>
        <w:spacing w:after="0" w:line="240" w:lineRule="auto"/>
        <w:ind w:left="1134" w:hanging="425"/>
        <w:rPr>
          <w:rFonts w:ascii="Times New Roman" w:hAnsi="Times New Roman" w:cs="Times New Roman"/>
          <w:sz w:val="28"/>
          <w:szCs w:val="28"/>
          <w:lang w:val="uk-UA"/>
        </w:rPr>
      </w:pPr>
      <w:r>
        <w:rPr>
          <w:rFonts w:ascii="Times New Roman" w:hAnsi="Times New Roman" w:cs="Times New Roman"/>
          <w:sz w:val="28"/>
          <w:szCs w:val="28"/>
          <w:lang w:val="uk-UA"/>
        </w:rPr>
        <w:t>недостатній рівень поінформованості та усвідомлення сутності державної гендерної політики.</w:t>
      </w:r>
    </w:p>
    <w:p w:rsidR="00A85873" w:rsidRDefault="00A85873" w:rsidP="00A85873">
      <w:pPr>
        <w:pStyle w:val="a3"/>
        <w:spacing w:after="0" w:line="240" w:lineRule="auto"/>
        <w:ind w:left="1134"/>
        <w:rPr>
          <w:rFonts w:ascii="Times New Roman" w:hAnsi="Times New Roman" w:cs="Times New Roman"/>
          <w:sz w:val="28"/>
          <w:szCs w:val="28"/>
          <w:lang w:val="uk-UA"/>
        </w:rPr>
      </w:pPr>
    </w:p>
    <w:p w:rsidR="00E7506F" w:rsidRDefault="006B7349" w:rsidP="00E7506F">
      <w:pPr>
        <w:spacing w:after="0" w:line="240" w:lineRule="auto"/>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Розвиток фізичної культури і спорту</w:t>
      </w:r>
    </w:p>
    <w:p w:rsidR="00E7506F" w:rsidRDefault="00E7506F" w:rsidP="00F01E65">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Для зайняття фізичною культурою і спортом в місті функціонує досить розгалужена  мережа спортивних об’єктів.</w:t>
      </w:r>
    </w:p>
    <w:p w:rsidR="00E7506F" w:rsidRDefault="00E7506F" w:rsidP="00E7506F">
      <w:pPr>
        <w:spacing w:after="0" w:line="240" w:lineRule="auto"/>
        <w:ind w:firstLine="708"/>
        <w:rPr>
          <w:rFonts w:ascii="Times New Roman" w:hAnsi="Times New Roman" w:cs="Times New Roman"/>
          <w:sz w:val="28"/>
          <w:szCs w:val="28"/>
          <w:lang w:val="uk-UA"/>
        </w:rPr>
      </w:pPr>
      <w:r w:rsidRPr="00560B4B">
        <w:rPr>
          <w:rFonts w:ascii="Times New Roman" w:hAnsi="Times New Roman" w:cs="Times New Roman"/>
          <w:noProof/>
          <w:sz w:val="28"/>
          <w:szCs w:val="28"/>
          <w:lang w:eastAsia="ru-RU"/>
        </w:rPr>
        <w:drawing>
          <wp:inline distT="0" distB="0" distL="0" distR="0">
            <wp:extent cx="5295900" cy="2743200"/>
            <wp:effectExtent l="0" t="0" r="0" b="0"/>
            <wp:docPr id="4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rsidR="00E7506F" w:rsidRDefault="00E7506F" w:rsidP="00F01E65">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Спостерігається позитивна тенденція щодо будівництва спортивних майданчиків, кількість яких з року в рік зростає.</w:t>
      </w:r>
    </w:p>
    <w:p w:rsidR="00E7506F" w:rsidRDefault="00E7506F" w:rsidP="00E7506F">
      <w:pPr>
        <w:jc w:val="center"/>
        <w:rPr>
          <w:rFonts w:ascii="Times New Roman" w:hAnsi="Times New Roman" w:cs="Times New Roman"/>
          <w:sz w:val="28"/>
          <w:szCs w:val="28"/>
          <w:lang w:val="uk-UA"/>
        </w:rPr>
      </w:pPr>
      <w:r w:rsidRPr="00042469">
        <w:rPr>
          <w:rFonts w:ascii="Times New Roman" w:hAnsi="Times New Roman" w:cs="Times New Roman"/>
          <w:noProof/>
          <w:sz w:val="28"/>
          <w:szCs w:val="28"/>
          <w:lang w:eastAsia="ru-RU"/>
        </w:rPr>
        <w:drawing>
          <wp:inline distT="0" distB="0" distL="0" distR="0">
            <wp:extent cx="5086350" cy="2238375"/>
            <wp:effectExtent l="0" t="0" r="0" b="0"/>
            <wp:docPr id="4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rsidR="00E7506F" w:rsidRDefault="00E7506F" w:rsidP="00A85873">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Близько 60,0 тисяч мешканців міста  займаються фізичною культурою і спортом</w:t>
      </w:r>
      <w:r w:rsidR="00FF1567">
        <w:rPr>
          <w:rFonts w:ascii="Times New Roman" w:hAnsi="Times New Roman" w:cs="Times New Roman"/>
          <w:sz w:val="28"/>
          <w:szCs w:val="28"/>
          <w:lang w:val="uk-UA"/>
        </w:rPr>
        <w:t xml:space="preserve"> в секціях, гуртках, на уроках фізкультури. </w:t>
      </w:r>
      <w:r>
        <w:rPr>
          <w:rFonts w:ascii="Times New Roman" w:hAnsi="Times New Roman" w:cs="Times New Roman"/>
          <w:sz w:val="28"/>
          <w:szCs w:val="28"/>
          <w:lang w:val="uk-UA"/>
        </w:rPr>
        <w:t xml:space="preserve"> Щороку зростає кількість спортсменів, які досягли успіхів на всеукраїнських та міжнародних спортивних аренах.</w:t>
      </w:r>
    </w:p>
    <w:p w:rsidR="00E7506F" w:rsidRDefault="00E7506F" w:rsidP="00E7506F">
      <w:pPr>
        <w:ind w:right="-1" w:hanging="426"/>
        <w:jc w:val="both"/>
        <w:rPr>
          <w:rFonts w:ascii="Times New Roman" w:hAnsi="Times New Roman" w:cs="Times New Roman"/>
          <w:sz w:val="28"/>
          <w:szCs w:val="28"/>
          <w:lang w:val="uk-UA"/>
        </w:rPr>
      </w:pPr>
      <w:r w:rsidRPr="00A64751">
        <w:rPr>
          <w:rFonts w:ascii="Times New Roman" w:hAnsi="Times New Roman" w:cs="Times New Roman"/>
          <w:noProof/>
          <w:sz w:val="28"/>
          <w:szCs w:val="28"/>
          <w:lang w:eastAsia="ru-RU"/>
        </w:rPr>
        <w:lastRenderedPageBreak/>
        <w:drawing>
          <wp:inline distT="0" distB="0" distL="0" distR="0">
            <wp:extent cx="2876550" cy="2333625"/>
            <wp:effectExtent l="19050" t="0" r="0" b="0"/>
            <wp:docPr id="45"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r>
        <w:rPr>
          <w:rFonts w:ascii="Times New Roman" w:hAnsi="Times New Roman" w:cs="Times New Roman"/>
          <w:sz w:val="28"/>
          <w:szCs w:val="28"/>
          <w:lang w:val="uk-UA"/>
        </w:rPr>
        <w:t xml:space="preserve"> </w:t>
      </w:r>
      <w:r w:rsidRPr="00A64751">
        <w:rPr>
          <w:rFonts w:ascii="Times New Roman" w:hAnsi="Times New Roman" w:cs="Times New Roman"/>
          <w:noProof/>
          <w:sz w:val="28"/>
          <w:szCs w:val="28"/>
          <w:lang w:eastAsia="ru-RU"/>
        </w:rPr>
        <w:drawing>
          <wp:inline distT="0" distB="0" distL="0" distR="0">
            <wp:extent cx="3133725" cy="2257425"/>
            <wp:effectExtent l="19050" t="0" r="0" b="0"/>
            <wp:docPr id="46"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rsidR="00E7506F" w:rsidRDefault="00E7506F" w:rsidP="00A85873">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Проводиться значна кількість заходів спортивного спрямування для залучення житомирян до зайняття фізичною культурою і спортом.</w:t>
      </w:r>
    </w:p>
    <w:p w:rsidR="00E7506F" w:rsidRDefault="00E7506F" w:rsidP="00E7506F">
      <w:pPr>
        <w:ind w:right="-284" w:hanging="567"/>
        <w:jc w:val="both"/>
        <w:rPr>
          <w:rFonts w:ascii="Times New Roman" w:hAnsi="Times New Roman" w:cs="Times New Roman"/>
          <w:sz w:val="28"/>
          <w:szCs w:val="28"/>
          <w:lang w:val="uk-UA"/>
        </w:rPr>
      </w:pPr>
      <w:r w:rsidRPr="00E44596">
        <w:rPr>
          <w:rFonts w:ascii="Times New Roman" w:hAnsi="Times New Roman" w:cs="Times New Roman"/>
          <w:noProof/>
          <w:sz w:val="28"/>
          <w:szCs w:val="28"/>
          <w:lang w:eastAsia="ru-RU"/>
        </w:rPr>
        <w:drawing>
          <wp:inline distT="0" distB="0" distL="0" distR="0">
            <wp:extent cx="3095625" cy="2333625"/>
            <wp:effectExtent l="19050" t="0" r="0" b="0"/>
            <wp:docPr id="50"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r w:rsidRPr="00637D80">
        <w:rPr>
          <w:rFonts w:ascii="Times New Roman" w:hAnsi="Times New Roman" w:cs="Times New Roman"/>
          <w:noProof/>
          <w:sz w:val="28"/>
          <w:szCs w:val="28"/>
          <w:lang w:eastAsia="ru-RU"/>
        </w:rPr>
        <w:drawing>
          <wp:inline distT="0" distB="0" distL="0" distR="0">
            <wp:extent cx="3248025" cy="2409825"/>
            <wp:effectExtent l="19050" t="0" r="0" b="0"/>
            <wp:docPr id="52"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rsidR="00E7506F" w:rsidRDefault="00E7506F" w:rsidP="00A85873">
      <w:pPr>
        <w:spacing w:after="0" w:line="240" w:lineRule="auto"/>
        <w:ind w:firstLine="567"/>
        <w:jc w:val="both"/>
        <w:rPr>
          <w:rFonts w:ascii="Times New Roman" w:hAnsi="Times New Roman" w:cs="Times New Roman"/>
          <w:sz w:val="28"/>
          <w:szCs w:val="28"/>
          <w:lang w:val="uk-UA"/>
        </w:rPr>
      </w:pPr>
      <w:r>
        <w:rPr>
          <w:rFonts w:ascii="Times New Roman" w:hAnsi="Times New Roman" w:cs="Times New Roman"/>
          <w:sz w:val="28"/>
          <w:szCs w:val="28"/>
          <w:lang w:val="uk-UA"/>
        </w:rPr>
        <w:t>Разом з тим, невирішеними залишаються наступні проблеми:</w:t>
      </w:r>
    </w:p>
    <w:p w:rsidR="00E7506F" w:rsidRPr="00072F10" w:rsidRDefault="00E7506F" w:rsidP="00A85873">
      <w:pPr>
        <w:pStyle w:val="a3"/>
        <w:numPr>
          <w:ilvl w:val="0"/>
          <w:numId w:val="9"/>
        </w:numPr>
        <w:spacing w:after="0" w:line="240" w:lineRule="auto"/>
        <w:ind w:left="1134" w:hanging="425"/>
        <w:jc w:val="both"/>
        <w:rPr>
          <w:rFonts w:ascii="Times New Roman" w:eastAsia="Calibri" w:hAnsi="Times New Roman" w:cs="Times New Roman"/>
          <w:color w:val="000000" w:themeColor="text1"/>
          <w:sz w:val="28"/>
          <w:szCs w:val="28"/>
          <w:lang w:val="uk-UA"/>
        </w:rPr>
      </w:pPr>
      <w:r w:rsidRPr="00072F10">
        <w:rPr>
          <w:rFonts w:ascii="Times New Roman" w:eastAsia="Calibri" w:hAnsi="Times New Roman" w:cs="Times New Roman"/>
          <w:color w:val="000000" w:themeColor="text1"/>
          <w:sz w:val="28"/>
          <w:szCs w:val="28"/>
          <w:lang w:val="uk-UA"/>
        </w:rPr>
        <w:t>відсутність спортивних споруд, що відповідають вимогам проведення міжнародних змагань;</w:t>
      </w:r>
    </w:p>
    <w:p w:rsidR="00E7506F" w:rsidRPr="00072F10" w:rsidRDefault="00E7506F" w:rsidP="00A85873">
      <w:pPr>
        <w:pStyle w:val="a3"/>
        <w:numPr>
          <w:ilvl w:val="0"/>
          <w:numId w:val="9"/>
        </w:numPr>
        <w:spacing w:after="0" w:line="240" w:lineRule="auto"/>
        <w:ind w:left="1134" w:hanging="425"/>
        <w:jc w:val="both"/>
        <w:rPr>
          <w:rFonts w:ascii="Times New Roman" w:eastAsia="Calibri" w:hAnsi="Times New Roman" w:cs="Times New Roman"/>
          <w:color w:val="000000" w:themeColor="text1"/>
          <w:sz w:val="28"/>
          <w:szCs w:val="28"/>
          <w:lang w:val="uk-UA"/>
        </w:rPr>
      </w:pPr>
      <w:r w:rsidRPr="00072F10">
        <w:rPr>
          <w:rFonts w:ascii="Times New Roman" w:eastAsia="Calibri" w:hAnsi="Times New Roman" w:cs="Times New Roman"/>
          <w:color w:val="000000" w:themeColor="text1"/>
          <w:sz w:val="28"/>
          <w:szCs w:val="28"/>
          <w:lang w:val="uk-UA"/>
        </w:rPr>
        <w:t>відсутність комунального спортивного комплексу з залом для ігрових видів спорту;</w:t>
      </w:r>
    </w:p>
    <w:p w:rsidR="00E7506F" w:rsidRPr="00072F10" w:rsidRDefault="00E7506F" w:rsidP="00A85873">
      <w:pPr>
        <w:pStyle w:val="a3"/>
        <w:numPr>
          <w:ilvl w:val="0"/>
          <w:numId w:val="9"/>
        </w:numPr>
        <w:spacing w:after="0" w:line="240" w:lineRule="auto"/>
        <w:ind w:left="1134" w:hanging="425"/>
        <w:jc w:val="both"/>
        <w:rPr>
          <w:rFonts w:ascii="Times New Roman" w:eastAsia="Calibri" w:hAnsi="Times New Roman" w:cs="Times New Roman"/>
          <w:color w:val="000000" w:themeColor="text1"/>
          <w:sz w:val="28"/>
          <w:szCs w:val="28"/>
          <w:lang w:val="uk-UA"/>
        </w:rPr>
      </w:pPr>
      <w:r w:rsidRPr="00072F10">
        <w:rPr>
          <w:rFonts w:ascii="Times New Roman" w:eastAsia="Calibri" w:hAnsi="Times New Roman" w:cs="Times New Roman"/>
          <w:color w:val="000000" w:themeColor="text1"/>
          <w:sz w:val="28"/>
          <w:szCs w:val="28"/>
          <w:lang w:val="uk-UA"/>
        </w:rPr>
        <w:t>відсутність комунальних басейнів та споруд з штучним льодом;</w:t>
      </w:r>
    </w:p>
    <w:p w:rsidR="00E7506F" w:rsidRPr="00072F10" w:rsidRDefault="00E7506F" w:rsidP="00A85873">
      <w:pPr>
        <w:pStyle w:val="a3"/>
        <w:numPr>
          <w:ilvl w:val="0"/>
          <w:numId w:val="9"/>
        </w:numPr>
        <w:spacing w:after="0" w:line="240" w:lineRule="auto"/>
        <w:ind w:left="1134" w:hanging="425"/>
        <w:jc w:val="both"/>
        <w:rPr>
          <w:rFonts w:ascii="Times New Roman" w:eastAsia="Calibri" w:hAnsi="Times New Roman" w:cs="Times New Roman"/>
          <w:color w:val="000000" w:themeColor="text1"/>
          <w:sz w:val="28"/>
          <w:szCs w:val="28"/>
          <w:lang w:val="uk-UA"/>
        </w:rPr>
      </w:pPr>
      <w:r w:rsidRPr="00072F10">
        <w:rPr>
          <w:rFonts w:ascii="Times New Roman" w:eastAsia="Calibri" w:hAnsi="Times New Roman" w:cs="Times New Roman"/>
          <w:color w:val="000000" w:themeColor="text1"/>
          <w:sz w:val="28"/>
          <w:szCs w:val="28"/>
          <w:lang w:val="uk-UA"/>
        </w:rPr>
        <w:t>недостатнє забезпечення спортивним інвентарем та обладнанням дитячо-юнацьких спортивних шкіл;</w:t>
      </w:r>
    </w:p>
    <w:p w:rsidR="00E7506F" w:rsidRPr="00072F10" w:rsidRDefault="00E7506F" w:rsidP="00A85873">
      <w:pPr>
        <w:pStyle w:val="a3"/>
        <w:numPr>
          <w:ilvl w:val="0"/>
          <w:numId w:val="9"/>
        </w:numPr>
        <w:spacing w:after="0" w:line="240" w:lineRule="auto"/>
        <w:ind w:left="1134" w:hanging="425"/>
        <w:jc w:val="both"/>
        <w:rPr>
          <w:rFonts w:ascii="Times New Roman" w:eastAsia="Calibri" w:hAnsi="Times New Roman" w:cs="Times New Roman"/>
          <w:color w:val="000000" w:themeColor="text1"/>
          <w:sz w:val="28"/>
          <w:szCs w:val="28"/>
          <w:lang w:val="uk-UA"/>
        </w:rPr>
      </w:pPr>
      <w:r w:rsidRPr="00072F10">
        <w:rPr>
          <w:rFonts w:ascii="Times New Roman" w:eastAsia="Calibri" w:hAnsi="Times New Roman" w:cs="Times New Roman"/>
          <w:color w:val="000000" w:themeColor="text1"/>
          <w:sz w:val="28"/>
          <w:szCs w:val="28"/>
          <w:lang w:val="uk-UA"/>
        </w:rPr>
        <w:t>недостатня кількість спортивних майданчиків, міні-футбольних полів за місцем проживання.</w:t>
      </w:r>
    </w:p>
    <w:p w:rsidR="00E7506F" w:rsidRDefault="00E7506F" w:rsidP="00A85873">
      <w:pPr>
        <w:spacing w:after="0" w:line="240" w:lineRule="auto"/>
        <w:jc w:val="both"/>
        <w:rPr>
          <w:rFonts w:ascii="Times New Roman" w:hAnsi="Times New Roman" w:cs="Times New Roman"/>
          <w:sz w:val="28"/>
          <w:szCs w:val="28"/>
          <w:lang w:val="uk-UA"/>
        </w:rPr>
      </w:pPr>
    </w:p>
    <w:p w:rsidR="00E7506F" w:rsidRPr="00E21A71" w:rsidRDefault="00E7506F" w:rsidP="00E21A71">
      <w:pPr>
        <w:tabs>
          <w:tab w:val="left" w:pos="0"/>
        </w:tabs>
        <w:spacing w:after="0" w:line="240" w:lineRule="auto"/>
        <w:jc w:val="both"/>
        <w:rPr>
          <w:rFonts w:ascii="Times New Roman" w:hAnsi="Times New Roman" w:cs="Times New Roman"/>
          <w:b/>
          <w:color w:val="000000" w:themeColor="text1"/>
          <w:sz w:val="28"/>
          <w:szCs w:val="28"/>
          <w:lang w:val="uk-UA"/>
        </w:rPr>
      </w:pPr>
    </w:p>
    <w:sectPr w:rsidR="00E7506F" w:rsidRPr="00E21A71" w:rsidSect="00DE1447">
      <w:headerReference w:type="default" r:id="rId121"/>
      <w:headerReference w:type="first" r:id="rId122"/>
      <w:pgSz w:w="11906" w:h="16838"/>
      <w:pgMar w:top="1134" w:right="850" w:bottom="1134" w:left="1843" w:header="708" w:footer="708" w:gutter="0"/>
      <w:pgNumType w:start="2"/>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B0415" w:rsidRDefault="005B0415" w:rsidP="004804D0">
      <w:pPr>
        <w:spacing w:after="0" w:line="240" w:lineRule="auto"/>
      </w:pPr>
      <w:r>
        <w:separator/>
      </w:r>
    </w:p>
  </w:endnote>
  <w:endnote w:type="continuationSeparator" w:id="0">
    <w:p w:rsidR="005B0415" w:rsidRDefault="005B0415" w:rsidP="004804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B0415" w:rsidRDefault="005B0415" w:rsidP="004804D0">
      <w:pPr>
        <w:spacing w:after="0" w:line="240" w:lineRule="auto"/>
      </w:pPr>
      <w:r>
        <w:separator/>
      </w:r>
    </w:p>
  </w:footnote>
  <w:footnote w:type="continuationSeparator" w:id="0">
    <w:p w:rsidR="005B0415" w:rsidRDefault="005B0415" w:rsidP="004804D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39997955"/>
      <w:docPartObj>
        <w:docPartGallery w:val="Page Numbers (Top of Page)"/>
        <w:docPartUnique/>
      </w:docPartObj>
    </w:sdtPr>
    <w:sdtEndPr/>
    <w:sdtContent>
      <w:p w:rsidR="00E40DA1" w:rsidRDefault="00E40DA1">
        <w:pPr>
          <w:pStyle w:val="a8"/>
          <w:jc w:val="center"/>
        </w:pPr>
        <w:r>
          <w:fldChar w:fldCharType="begin"/>
        </w:r>
        <w:r>
          <w:instrText>PAGE   \* MERGEFORMAT</w:instrText>
        </w:r>
        <w:r>
          <w:fldChar w:fldCharType="separate"/>
        </w:r>
        <w:r w:rsidR="009742A1">
          <w:rPr>
            <w:noProof/>
          </w:rPr>
          <w:t>4</w:t>
        </w:r>
        <w:r>
          <w:fldChar w:fldCharType="end"/>
        </w:r>
      </w:p>
      <w:p w:rsidR="00E40DA1" w:rsidRDefault="00E40DA1">
        <w:pPr>
          <w:pStyle w:val="a8"/>
          <w:jc w:val="center"/>
        </w:pPr>
        <w:r w:rsidRPr="00E40DA1">
          <w:rPr>
            <w:rFonts w:ascii="Times New Roman" w:hAnsi="Times New Roman" w:cs="Times New Roman"/>
            <w:lang w:val="uk-UA"/>
          </w:rPr>
          <w:t xml:space="preserve">                    </w:t>
        </w:r>
        <w:r>
          <w:rPr>
            <w:rFonts w:ascii="Times New Roman" w:hAnsi="Times New Roman" w:cs="Times New Roman"/>
            <w:lang w:val="uk-UA"/>
          </w:rPr>
          <w:t xml:space="preserve">                                                                                               </w:t>
        </w:r>
        <w:r w:rsidRPr="00E40DA1">
          <w:rPr>
            <w:rFonts w:ascii="Times New Roman" w:hAnsi="Times New Roman" w:cs="Times New Roman"/>
            <w:lang w:val="uk-UA"/>
          </w:rPr>
          <w:t xml:space="preserve">              Продовження додатка</w:t>
        </w:r>
      </w:p>
    </w:sdtContent>
  </w:sdt>
  <w:p w:rsidR="00E40DA1" w:rsidRDefault="00E40DA1">
    <w:pPr>
      <w:pStyle w:val="a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1447" w:rsidRPr="00DE1447" w:rsidRDefault="00DE1447">
    <w:pPr>
      <w:pStyle w:val="a8"/>
      <w:rPr>
        <w:lang w:val="uk-UA"/>
      </w:rPr>
    </w:pPr>
    <w:r>
      <w:rPr>
        <w:lang w:val="uk-UA"/>
      </w:rPr>
      <w:t xml:space="preserve">                                                                                           2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8C9471B"/>
    <w:multiLevelType w:val="hybridMultilevel"/>
    <w:tmpl w:val="6D086DA2"/>
    <w:lvl w:ilvl="0" w:tplc="AE568986">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AC3184B"/>
    <w:multiLevelType w:val="hybridMultilevel"/>
    <w:tmpl w:val="44723852"/>
    <w:lvl w:ilvl="0" w:tplc="08F60926">
      <w:numFmt w:val="bullet"/>
      <w:lvlText w:val="-"/>
      <w:lvlJc w:val="left"/>
      <w:pPr>
        <w:ind w:left="1068" w:hanging="360"/>
      </w:pPr>
      <w:rPr>
        <w:rFonts w:ascii="Times New Roman" w:eastAsiaTheme="minorEastAsia" w:hAnsi="Times New Roman" w:cs="Times New Roman" w:hint="default"/>
      </w:rPr>
    </w:lvl>
    <w:lvl w:ilvl="1" w:tplc="04220003" w:tentative="1">
      <w:start w:val="1"/>
      <w:numFmt w:val="bullet"/>
      <w:lvlText w:val="o"/>
      <w:lvlJc w:val="left"/>
      <w:pPr>
        <w:ind w:left="1788" w:hanging="360"/>
      </w:pPr>
      <w:rPr>
        <w:rFonts w:ascii="Courier New" w:hAnsi="Courier New" w:cs="Courier New" w:hint="default"/>
      </w:rPr>
    </w:lvl>
    <w:lvl w:ilvl="2" w:tplc="04220005" w:tentative="1">
      <w:start w:val="1"/>
      <w:numFmt w:val="bullet"/>
      <w:lvlText w:val=""/>
      <w:lvlJc w:val="left"/>
      <w:pPr>
        <w:ind w:left="2508" w:hanging="360"/>
      </w:pPr>
      <w:rPr>
        <w:rFonts w:ascii="Wingdings" w:hAnsi="Wingdings" w:hint="default"/>
      </w:rPr>
    </w:lvl>
    <w:lvl w:ilvl="3" w:tplc="04220001" w:tentative="1">
      <w:start w:val="1"/>
      <w:numFmt w:val="bullet"/>
      <w:lvlText w:val=""/>
      <w:lvlJc w:val="left"/>
      <w:pPr>
        <w:ind w:left="3228" w:hanging="360"/>
      </w:pPr>
      <w:rPr>
        <w:rFonts w:ascii="Symbol" w:hAnsi="Symbol" w:hint="default"/>
      </w:rPr>
    </w:lvl>
    <w:lvl w:ilvl="4" w:tplc="04220003" w:tentative="1">
      <w:start w:val="1"/>
      <w:numFmt w:val="bullet"/>
      <w:lvlText w:val="o"/>
      <w:lvlJc w:val="left"/>
      <w:pPr>
        <w:ind w:left="3948" w:hanging="360"/>
      </w:pPr>
      <w:rPr>
        <w:rFonts w:ascii="Courier New" w:hAnsi="Courier New" w:cs="Courier New" w:hint="default"/>
      </w:rPr>
    </w:lvl>
    <w:lvl w:ilvl="5" w:tplc="04220005" w:tentative="1">
      <w:start w:val="1"/>
      <w:numFmt w:val="bullet"/>
      <w:lvlText w:val=""/>
      <w:lvlJc w:val="left"/>
      <w:pPr>
        <w:ind w:left="4668" w:hanging="360"/>
      </w:pPr>
      <w:rPr>
        <w:rFonts w:ascii="Wingdings" w:hAnsi="Wingdings" w:hint="default"/>
      </w:rPr>
    </w:lvl>
    <w:lvl w:ilvl="6" w:tplc="04220001" w:tentative="1">
      <w:start w:val="1"/>
      <w:numFmt w:val="bullet"/>
      <w:lvlText w:val=""/>
      <w:lvlJc w:val="left"/>
      <w:pPr>
        <w:ind w:left="5388" w:hanging="360"/>
      </w:pPr>
      <w:rPr>
        <w:rFonts w:ascii="Symbol" w:hAnsi="Symbol" w:hint="default"/>
      </w:rPr>
    </w:lvl>
    <w:lvl w:ilvl="7" w:tplc="04220003" w:tentative="1">
      <w:start w:val="1"/>
      <w:numFmt w:val="bullet"/>
      <w:lvlText w:val="o"/>
      <w:lvlJc w:val="left"/>
      <w:pPr>
        <w:ind w:left="6108" w:hanging="360"/>
      </w:pPr>
      <w:rPr>
        <w:rFonts w:ascii="Courier New" w:hAnsi="Courier New" w:cs="Courier New" w:hint="default"/>
      </w:rPr>
    </w:lvl>
    <w:lvl w:ilvl="8" w:tplc="04220005" w:tentative="1">
      <w:start w:val="1"/>
      <w:numFmt w:val="bullet"/>
      <w:lvlText w:val=""/>
      <w:lvlJc w:val="left"/>
      <w:pPr>
        <w:ind w:left="6828" w:hanging="360"/>
      </w:pPr>
      <w:rPr>
        <w:rFonts w:ascii="Wingdings" w:hAnsi="Wingdings" w:hint="default"/>
      </w:rPr>
    </w:lvl>
  </w:abstractNum>
  <w:abstractNum w:abstractNumId="2" w15:restartNumberingAfterBreak="0">
    <w:nsid w:val="1083365B"/>
    <w:multiLevelType w:val="hybridMultilevel"/>
    <w:tmpl w:val="85FED1E4"/>
    <w:lvl w:ilvl="0" w:tplc="1ED8967C">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FFC3283"/>
    <w:multiLevelType w:val="hybridMultilevel"/>
    <w:tmpl w:val="2140D6F2"/>
    <w:lvl w:ilvl="0" w:tplc="5E80C704">
      <w:start w:val="3"/>
      <w:numFmt w:val="bullet"/>
      <w:lvlText w:val="-"/>
      <w:lvlJc w:val="left"/>
      <w:pPr>
        <w:ind w:left="1506" w:hanging="360"/>
      </w:pPr>
      <w:rPr>
        <w:rFonts w:ascii="Times New Roman" w:eastAsia="Times New Roman" w:hAnsi="Times New Roman" w:hint="default"/>
      </w:rPr>
    </w:lvl>
    <w:lvl w:ilvl="1" w:tplc="04220003" w:tentative="1">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4" w15:restartNumberingAfterBreak="0">
    <w:nsid w:val="252C366F"/>
    <w:multiLevelType w:val="hybridMultilevel"/>
    <w:tmpl w:val="FFF88B92"/>
    <w:lvl w:ilvl="0" w:tplc="DA5C86F8">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 w15:restartNumberingAfterBreak="0">
    <w:nsid w:val="261A7565"/>
    <w:multiLevelType w:val="hybridMultilevel"/>
    <w:tmpl w:val="BBF2CD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3A256FCB"/>
    <w:multiLevelType w:val="hybridMultilevel"/>
    <w:tmpl w:val="A70E407A"/>
    <w:lvl w:ilvl="0" w:tplc="AB124BDC">
      <w:start w:val="1"/>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3D7A2C27"/>
    <w:multiLevelType w:val="hybridMultilevel"/>
    <w:tmpl w:val="05EC8C24"/>
    <w:lvl w:ilvl="0" w:tplc="0C847F5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520D1642"/>
    <w:multiLevelType w:val="hybridMultilevel"/>
    <w:tmpl w:val="399EAE80"/>
    <w:lvl w:ilvl="0" w:tplc="F25C3A78">
      <w:start w:val="3"/>
      <w:numFmt w:val="bullet"/>
      <w:lvlText w:val="-"/>
      <w:lvlJc w:val="left"/>
      <w:pPr>
        <w:ind w:left="720" w:hanging="360"/>
      </w:pPr>
      <w:rPr>
        <w:rFonts w:ascii="Calibri" w:eastAsia="Times New Roman" w:hAnsi="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550310F0"/>
    <w:multiLevelType w:val="hybridMultilevel"/>
    <w:tmpl w:val="F4C8463E"/>
    <w:lvl w:ilvl="0" w:tplc="D9F88724">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0" w15:restartNumberingAfterBreak="0">
    <w:nsid w:val="564C6698"/>
    <w:multiLevelType w:val="hybridMultilevel"/>
    <w:tmpl w:val="F5764CE0"/>
    <w:lvl w:ilvl="0" w:tplc="0F06B360">
      <w:start w:val="6"/>
      <w:numFmt w:val="bullet"/>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 w15:restartNumberingAfterBreak="0">
    <w:nsid w:val="57495830"/>
    <w:multiLevelType w:val="multilevel"/>
    <w:tmpl w:val="F5D462C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5F895703"/>
    <w:multiLevelType w:val="hybridMultilevel"/>
    <w:tmpl w:val="87B6C6A6"/>
    <w:lvl w:ilvl="0" w:tplc="DA5C86F8">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3" w15:restartNumberingAfterBreak="0">
    <w:nsid w:val="62F114CA"/>
    <w:multiLevelType w:val="hybridMultilevel"/>
    <w:tmpl w:val="14D6D65A"/>
    <w:lvl w:ilvl="0" w:tplc="DDC0B594">
      <w:start w:val="3"/>
      <w:numFmt w:val="bullet"/>
      <w:lvlText w:val="-"/>
      <w:lvlJc w:val="left"/>
      <w:pPr>
        <w:ind w:left="1353" w:hanging="360"/>
      </w:pPr>
      <w:rPr>
        <w:rFonts w:ascii="Calibri" w:eastAsia="Times New Roman" w:hAnsi="Calibri" w:hint="default"/>
        <w:color w:val="000000" w:themeColor="text1"/>
      </w:rPr>
    </w:lvl>
    <w:lvl w:ilvl="1" w:tplc="04220003" w:tentative="1">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14" w15:restartNumberingAfterBreak="0">
    <w:nsid w:val="694E2276"/>
    <w:multiLevelType w:val="hybridMultilevel"/>
    <w:tmpl w:val="61A6A992"/>
    <w:lvl w:ilvl="0" w:tplc="DA5C86F8">
      <w:numFmt w:val="bullet"/>
      <w:lvlText w:val="-"/>
      <w:lvlJc w:val="left"/>
      <w:pPr>
        <w:tabs>
          <w:tab w:val="num" w:pos="1627"/>
        </w:tabs>
        <w:ind w:left="1627" w:hanging="907"/>
      </w:pPr>
      <w:rPr>
        <w:rFonts w:ascii="Times New Roman" w:eastAsia="Times New Roman" w:hAnsi="Times New Roman" w:hint="default"/>
      </w:rPr>
    </w:lvl>
    <w:lvl w:ilvl="1" w:tplc="04220003" w:tentative="1">
      <w:start w:val="1"/>
      <w:numFmt w:val="bullet"/>
      <w:lvlText w:val="o"/>
      <w:lvlJc w:val="left"/>
      <w:pPr>
        <w:ind w:left="2160" w:hanging="360"/>
      </w:pPr>
      <w:rPr>
        <w:rFonts w:ascii="Courier New" w:hAnsi="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hint="default"/>
      </w:rPr>
    </w:lvl>
    <w:lvl w:ilvl="8" w:tplc="04220005" w:tentative="1">
      <w:start w:val="1"/>
      <w:numFmt w:val="bullet"/>
      <w:lvlText w:val=""/>
      <w:lvlJc w:val="left"/>
      <w:pPr>
        <w:ind w:left="7200" w:hanging="360"/>
      </w:pPr>
      <w:rPr>
        <w:rFonts w:ascii="Wingdings" w:hAnsi="Wingdings" w:hint="default"/>
      </w:rPr>
    </w:lvl>
  </w:abstractNum>
  <w:num w:numId="1">
    <w:abstractNumId w:val="11"/>
  </w:num>
  <w:num w:numId="2">
    <w:abstractNumId w:val="2"/>
  </w:num>
  <w:num w:numId="3">
    <w:abstractNumId w:val="5"/>
  </w:num>
  <w:num w:numId="4">
    <w:abstractNumId w:val="3"/>
  </w:num>
  <w:num w:numId="5">
    <w:abstractNumId w:val="7"/>
  </w:num>
  <w:num w:numId="6">
    <w:abstractNumId w:val="9"/>
  </w:num>
  <w:num w:numId="7">
    <w:abstractNumId w:val="0"/>
  </w:num>
  <w:num w:numId="8">
    <w:abstractNumId w:val="6"/>
  </w:num>
  <w:num w:numId="9">
    <w:abstractNumId w:val="8"/>
  </w:num>
  <w:num w:numId="10">
    <w:abstractNumId w:val="1"/>
  </w:num>
  <w:num w:numId="11">
    <w:abstractNumId w:val="13"/>
  </w:num>
  <w:num w:numId="12">
    <w:abstractNumId w:val="14"/>
  </w:num>
  <w:num w:numId="13">
    <w:abstractNumId w:val="12"/>
  </w:num>
  <w:num w:numId="14">
    <w:abstractNumId w:val="10"/>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8D3BFE"/>
    <w:rsid w:val="00000C88"/>
    <w:rsid w:val="00001903"/>
    <w:rsid w:val="00006A24"/>
    <w:rsid w:val="00010771"/>
    <w:rsid w:val="00011BC6"/>
    <w:rsid w:val="00013ADF"/>
    <w:rsid w:val="00020549"/>
    <w:rsid w:val="00033102"/>
    <w:rsid w:val="00033E6A"/>
    <w:rsid w:val="00036A07"/>
    <w:rsid w:val="00036F87"/>
    <w:rsid w:val="00037A27"/>
    <w:rsid w:val="00041425"/>
    <w:rsid w:val="00042AF6"/>
    <w:rsid w:val="00043F3A"/>
    <w:rsid w:val="00044763"/>
    <w:rsid w:val="00046B82"/>
    <w:rsid w:val="000528B2"/>
    <w:rsid w:val="000537BC"/>
    <w:rsid w:val="00062B32"/>
    <w:rsid w:val="00062CC3"/>
    <w:rsid w:val="00072F10"/>
    <w:rsid w:val="00073E9A"/>
    <w:rsid w:val="00076A22"/>
    <w:rsid w:val="00077B17"/>
    <w:rsid w:val="00082004"/>
    <w:rsid w:val="00082C94"/>
    <w:rsid w:val="00083262"/>
    <w:rsid w:val="000838C4"/>
    <w:rsid w:val="000852CB"/>
    <w:rsid w:val="00085D3C"/>
    <w:rsid w:val="00085F2F"/>
    <w:rsid w:val="00086298"/>
    <w:rsid w:val="000915D0"/>
    <w:rsid w:val="000925E4"/>
    <w:rsid w:val="00095BE6"/>
    <w:rsid w:val="00097A28"/>
    <w:rsid w:val="000A0FF6"/>
    <w:rsid w:val="000A7BC1"/>
    <w:rsid w:val="000B2334"/>
    <w:rsid w:val="000B516F"/>
    <w:rsid w:val="000C2A71"/>
    <w:rsid w:val="000C359E"/>
    <w:rsid w:val="000C4068"/>
    <w:rsid w:val="000C5DFF"/>
    <w:rsid w:val="000C7F59"/>
    <w:rsid w:val="000D00E5"/>
    <w:rsid w:val="000D1672"/>
    <w:rsid w:val="000D62B0"/>
    <w:rsid w:val="000D7669"/>
    <w:rsid w:val="000E3050"/>
    <w:rsid w:val="000E6D9F"/>
    <w:rsid w:val="000F0686"/>
    <w:rsid w:val="00100283"/>
    <w:rsid w:val="001106A8"/>
    <w:rsid w:val="00113AC8"/>
    <w:rsid w:val="00115D7E"/>
    <w:rsid w:val="001221FC"/>
    <w:rsid w:val="00123CC8"/>
    <w:rsid w:val="0012615A"/>
    <w:rsid w:val="00130E9C"/>
    <w:rsid w:val="00133C4E"/>
    <w:rsid w:val="0013745A"/>
    <w:rsid w:val="00137B57"/>
    <w:rsid w:val="0014094D"/>
    <w:rsid w:val="0014302E"/>
    <w:rsid w:val="00145086"/>
    <w:rsid w:val="001479B7"/>
    <w:rsid w:val="00150C08"/>
    <w:rsid w:val="0015758E"/>
    <w:rsid w:val="00162AB7"/>
    <w:rsid w:val="00164EB1"/>
    <w:rsid w:val="00164FC2"/>
    <w:rsid w:val="00171DC8"/>
    <w:rsid w:val="001733D9"/>
    <w:rsid w:val="001735F5"/>
    <w:rsid w:val="00174095"/>
    <w:rsid w:val="00175520"/>
    <w:rsid w:val="001818A7"/>
    <w:rsid w:val="001830E6"/>
    <w:rsid w:val="00186B5A"/>
    <w:rsid w:val="00192470"/>
    <w:rsid w:val="0019366B"/>
    <w:rsid w:val="00194658"/>
    <w:rsid w:val="00195F1B"/>
    <w:rsid w:val="001A28F0"/>
    <w:rsid w:val="001A472A"/>
    <w:rsid w:val="001A6ED2"/>
    <w:rsid w:val="001A708A"/>
    <w:rsid w:val="001B1196"/>
    <w:rsid w:val="001B5016"/>
    <w:rsid w:val="001B60C9"/>
    <w:rsid w:val="001B7A39"/>
    <w:rsid w:val="001C093A"/>
    <w:rsid w:val="001C4306"/>
    <w:rsid w:val="001C638C"/>
    <w:rsid w:val="001D33F6"/>
    <w:rsid w:val="001D4D1D"/>
    <w:rsid w:val="001D73DA"/>
    <w:rsid w:val="001E1468"/>
    <w:rsid w:val="001E2BC4"/>
    <w:rsid w:val="001E31FD"/>
    <w:rsid w:val="001E5C36"/>
    <w:rsid w:val="001F5BA5"/>
    <w:rsid w:val="00201044"/>
    <w:rsid w:val="00202B72"/>
    <w:rsid w:val="00202B73"/>
    <w:rsid w:val="00203135"/>
    <w:rsid w:val="002114A8"/>
    <w:rsid w:val="002125D4"/>
    <w:rsid w:val="00216C61"/>
    <w:rsid w:val="002178E0"/>
    <w:rsid w:val="00222A51"/>
    <w:rsid w:val="00227BA9"/>
    <w:rsid w:val="00231196"/>
    <w:rsid w:val="002403AA"/>
    <w:rsid w:val="0024138C"/>
    <w:rsid w:val="00245D4A"/>
    <w:rsid w:val="0025309D"/>
    <w:rsid w:val="00253D7F"/>
    <w:rsid w:val="00266339"/>
    <w:rsid w:val="0027222E"/>
    <w:rsid w:val="00276EEB"/>
    <w:rsid w:val="00277293"/>
    <w:rsid w:val="00277CC4"/>
    <w:rsid w:val="0028003E"/>
    <w:rsid w:val="002805AE"/>
    <w:rsid w:val="002829B6"/>
    <w:rsid w:val="00283657"/>
    <w:rsid w:val="002913C2"/>
    <w:rsid w:val="00293DB2"/>
    <w:rsid w:val="00293F99"/>
    <w:rsid w:val="00296157"/>
    <w:rsid w:val="0029662A"/>
    <w:rsid w:val="002A3087"/>
    <w:rsid w:val="002B097F"/>
    <w:rsid w:val="002B2AD8"/>
    <w:rsid w:val="002B5D64"/>
    <w:rsid w:val="002C3EDA"/>
    <w:rsid w:val="002C5B28"/>
    <w:rsid w:val="002E26AE"/>
    <w:rsid w:val="002E2E95"/>
    <w:rsid w:val="002F2348"/>
    <w:rsid w:val="002F66AF"/>
    <w:rsid w:val="003035A3"/>
    <w:rsid w:val="00307BE3"/>
    <w:rsid w:val="00313029"/>
    <w:rsid w:val="00316481"/>
    <w:rsid w:val="00321B50"/>
    <w:rsid w:val="00325B66"/>
    <w:rsid w:val="00331B1A"/>
    <w:rsid w:val="0033329A"/>
    <w:rsid w:val="0033357B"/>
    <w:rsid w:val="00333723"/>
    <w:rsid w:val="003340F8"/>
    <w:rsid w:val="00347F42"/>
    <w:rsid w:val="00351F3B"/>
    <w:rsid w:val="00352A5C"/>
    <w:rsid w:val="0035307B"/>
    <w:rsid w:val="0035554B"/>
    <w:rsid w:val="00361DB6"/>
    <w:rsid w:val="00370861"/>
    <w:rsid w:val="00370AF7"/>
    <w:rsid w:val="00371957"/>
    <w:rsid w:val="00372026"/>
    <w:rsid w:val="00376D53"/>
    <w:rsid w:val="0038096D"/>
    <w:rsid w:val="00381247"/>
    <w:rsid w:val="00382DE4"/>
    <w:rsid w:val="00386A02"/>
    <w:rsid w:val="00394E21"/>
    <w:rsid w:val="003972F8"/>
    <w:rsid w:val="003A7566"/>
    <w:rsid w:val="003B10D2"/>
    <w:rsid w:val="003B1C35"/>
    <w:rsid w:val="003C2451"/>
    <w:rsid w:val="003C38E3"/>
    <w:rsid w:val="003C5E0E"/>
    <w:rsid w:val="003C6C42"/>
    <w:rsid w:val="003C7EA7"/>
    <w:rsid w:val="003D09B1"/>
    <w:rsid w:val="003D0E34"/>
    <w:rsid w:val="003D58E8"/>
    <w:rsid w:val="003D76F7"/>
    <w:rsid w:val="003E0AC4"/>
    <w:rsid w:val="003F4784"/>
    <w:rsid w:val="003F6112"/>
    <w:rsid w:val="00400C57"/>
    <w:rsid w:val="00406AF5"/>
    <w:rsid w:val="00406F49"/>
    <w:rsid w:val="00411FA8"/>
    <w:rsid w:val="004124FD"/>
    <w:rsid w:val="00412509"/>
    <w:rsid w:val="004136F6"/>
    <w:rsid w:val="004162EF"/>
    <w:rsid w:val="0041725A"/>
    <w:rsid w:val="00420824"/>
    <w:rsid w:val="00420FF3"/>
    <w:rsid w:val="004216AE"/>
    <w:rsid w:val="00422225"/>
    <w:rsid w:val="0042225A"/>
    <w:rsid w:val="0042729D"/>
    <w:rsid w:val="00431D03"/>
    <w:rsid w:val="0043456D"/>
    <w:rsid w:val="00440793"/>
    <w:rsid w:val="004533AF"/>
    <w:rsid w:val="0045775C"/>
    <w:rsid w:val="00460EB4"/>
    <w:rsid w:val="00463DD9"/>
    <w:rsid w:val="00471F83"/>
    <w:rsid w:val="0047337E"/>
    <w:rsid w:val="004804D0"/>
    <w:rsid w:val="00482DB1"/>
    <w:rsid w:val="0048323B"/>
    <w:rsid w:val="00485593"/>
    <w:rsid w:val="004900AA"/>
    <w:rsid w:val="0049302A"/>
    <w:rsid w:val="00496BDC"/>
    <w:rsid w:val="00497633"/>
    <w:rsid w:val="004A48E6"/>
    <w:rsid w:val="004B0779"/>
    <w:rsid w:val="004B2EEA"/>
    <w:rsid w:val="004B52B2"/>
    <w:rsid w:val="004B5D9D"/>
    <w:rsid w:val="004B6780"/>
    <w:rsid w:val="004B700D"/>
    <w:rsid w:val="004C18B9"/>
    <w:rsid w:val="004C1CF6"/>
    <w:rsid w:val="004C4BA1"/>
    <w:rsid w:val="004C6802"/>
    <w:rsid w:val="004C6CA4"/>
    <w:rsid w:val="004C7E11"/>
    <w:rsid w:val="004D6D6A"/>
    <w:rsid w:val="004E1100"/>
    <w:rsid w:val="004E5E58"/>
    <w:rsid w:val="00503F28"/>
    <w:rsid w:val="00504A1D"/>
    <w:rsid w:val="00511EB7"/>
    <w:rsid w:val="00512E8C"/>
    <w:rsid w:val="00515DE4"/>
    <w:rsid w:val="00522044"/>
    <w:rsid w:val="005241A8"/>
    <w:rsid w:val="00524B54"/>
    <w:rsid w:val="00527CF2"/>
    <w:rsid w:val="00530E6F"/>
    <w:rsid w:val="00532879"/>
    <w:rsid w:val="00540087"/>
    <w:rsid w:val="00541008"/>
    <w:rsid w:val="00544684"/>
    <w:rsid w:val="005448A7"/>
    <w:rsid w:val="005500E2"/>
    <w:rsid w:val="00550276"/>
    <w:rsid w:val="00552903"/>
    <w:rsid w:val="00555D4C"/>
    <w:rsid w:val="00556B78"/>
    <w:rsid w:val="00562F11"/>
    <w:rsid w:val="00566B5D"/>
    <w:rsid w:val="00570E4E"/>
    <w:rsid w:val="00571A09"/>
    <w:rsid w:val="00572243"/>
    <w:rsid w:val="00575E49"/>
    <w:rsid w:val="00576B8B"/>
    <w:rsid w:val="0057790A"/>
    <w:rsid w:val="00580710"/>
    <w:rsid w:val="00580B45"/>
    <w:rsid w:val="00581425"/>
    <w:rsid w:val="005904A8"/>
    <w:rsid w:val="00591B33"/>
    <w:rsid w:val="00592367"/>
    <w:rsid w:val="00593E05"/>
    <w:rsid w:val="0059704D"/>
    <w:rsid w:val="005A07B7"/>
    <w:rsid w:val="005A091D"/>
    <w:rsid w:val="005A2BB6"/>
    <w:rsid w:val="005A7EFC"/>
    <w:rsid w:val="005B0415"/>
    <w:rsid w:val="005B04FF"/>
    <w:rsid w:val="005B0E6B"/>
    <w:rsid w:val="005B32B3"/>
    <w:rsid w:val="005B4EA6"/>
    <w:rsid w:val="005C01B8"/>
    <w:rsid w:val="005C0FF3"/>
    <w:rsid w:val="005C2713"/>
    <w:rsid w:val="005C2FCF"/>
    <w:rsid w:val="005C3AF0"/>
    <w:rsid w:val="005C3D17"/>
    <w:rsid w:val="005C7A6B"/>
    <w:rsid w:val="005D04A5"/>
    <w:rsid w:val="005D0827"/>
    <w:rsid w:val="005D1D9C"/>
    <w:rsid w:val="005D2D21"/>
    <w:rsid w:val="005D37CE"/>
    <w:rsid w:val="005D53AC"/>
    <w:rsid w:val="005D7C24"/>
    <w:rsid w:val="005E033E"/>
    <w:rsid w:val="005E1DDF"/>
    <w:rsid w:val="005F02E7"/>
    <w:rsid w:val="005F1CD3"/>
    <w:rsid w:val="005F5691"/>
    <w:rsid w:val="005F67B8"/>
    <w:rsid w:val="00600EA6"/>
    <w:rsid w:val="00601FBF"/>
    <w:rsid w:val="00605198"/>
    <w:rsid w:val="0061125C"/>
    <w:rsid w:val="00611CEC"/>
    <w:rsid w:val="006146A7"/>
    <w:rsid w:val="00616089"/>
    <w:rsid w:val="006205CA"/>
    <w:rsid w:val="00620E49"/>
    <w:rsid w:val="00621036"/>
    <w:rsid w:val="006262AB"/>
    <w:rsid w:val="006275E6"/>
    <w:rsid w:val="0063118B"/>
    <w:rsid w:val="00631222"/>
    <w:rsid w:val="00631D39"/>
    <w:rsid w:val="00633866"/>
    <w:rsid w:val="00637152"/>
    <w:rsid w:val="0064262F"/>
    <w:rsid w:val="006471A8"/>
    <w:rsid w:val="006517EA"/>
    <w:rsid w:val="00660D48"/>
    <w:rsid w:val="006613FB"/>
    <w:rsid w:val="00662169"/>
    <w:rsid w:val="006624B6"/>
    <w:rsid w:val="006632BC"/>
    <w:rsid w:val="00664202"/>
    <w:rsid w:val="006644EB"/>
    <w:rsid w:val="0066493D"/>
    <w:rsid w:val="00664A24"/>
    <w:rsid w:val="00667D3E"/>
    <w:rsid w:val="00670654"/>
    <w:rsid w:val="00673E31"/>
    <w:rsid w:val="00674022"/>
    <w:rsid w:val="00675457"/>
    <w:rsid w:val="00675E1D"/>
    <w:rsid w:val="00676005"/>
    <w:rsid w:val="006811B2"/>
    <w:rsid w:val="00683C54"/>
    <w:rsid w:val="00683CC4"/>
    <w:rsid w:val="00684418"/>
    <w:rsid w:val="006859A3"/>
    <w:rsid w:val="006905E1"/>
    <w:rsid w:val="00693DEA"/>
    <w:rsid w:val="00694E70"/>
    <w:rsid w:val="00695245"/>
    <w:rsid w:val="006A00D0"/>
    <w:rsid w:val="006A126E"/>
    <w:rsid w:val="006A2FB9"/>
    <w:rsid w:val="006A6411"/>
    <w:rsid w:val="006B0254"/>
    <w:rsid w:val="006B0F05"/>
    <w:rsid w:val="006B7349"/>
    <w:rsid w:val="006C04A5"/>
    <w:rsid w:val="006C3E7F"/>
    <w:rsid w:val="006C6F05"/>
    <w:rsid w:val="006D04FE"/>
    <w:rsid w:val="006D0DE2"/>
    <w:rsid w:val="006D1502"/>
    <w:rsid w:val="006D28EB"/>
    <w:rsid w:val="006D575E"/>
    <w:rsid w:val="006D59AA"/>
    <w:rsid w:val="006E19EA"/>
    <w:rsid w:val="006E4FA7"/>
    <w:rsid w:val="006E67C8"/>
    <w:rsid w:val="006F1CE8"/>
    <w:rsid w:val="006F2143"/>
    <w:rsid w:val="006F4EFB"/>
    <w:rsid w:val="007011FB"/>
    <w:rsid w:val="00702351"/>
    <w:rsid w:val="00703EE9"/>
    <w:rsid w:val="00704457"/>
    <w:rsid w:val="00705197"/>
    <w:rsid w:val="00707EC3"/>
    <w:rsid w:val="007100EC"/>
    <w:rsid w:val="00710D8A"/>
    <w:rsid w:val="00711713"/>
    <w:rsid w:val="0071358D"/>
    <w:rsid w:val="00715DFE"/>
    <w:rsid w:val="007161A2"/>
    <w:rsid w:val="007173D8"/>
    <w:rsid w:val="00720523"/>
    <w:rsid w:val="00720A47"/>
    <w:rsid w:val="00722888"/>
    <w:rsid w:val="007315FC"/>
    <w:rsid w:val="00733C5C"/>
    <w:rsid w:val="00737B26"/>
    <w:rsid w:val="007401A4"/>
    <w:rsid w:val="00745CA8"/>
    <w:rsid w:val="00756B03"/>
    <w:rsid w:val="00757BE5"/>
    <w:rsid w:val="007601FE"/>
    <w:rsid w:val="007607F8"/>
    <w:rsid w:val="0076336E"/>
    <w:rsid w:val="00764284"/>
    <w:rsid w:val="00765B8D"/>
    <w:rsid w:val="00765D06"/>
    <w:rsid w:val="00766239"/>
    <w:rsid w:val="00766977"/>
    <w:rsid w:val="00766F64"/>
    <w:rsid w:val="00770D97"/>
    <w:rsid w:val="00773F66"/>
    <w:rsid w:val="007802E9"/>
    <w:rsid w:val="00780DEF"/>
    <w:rsid w:val="0078386A"/>
    <w:rsid w:val="0078693B"/>
    <w:rsid w:val="00791FEE"/>
    <w:rsid w:val="0079202F"/>
    <w:rsid w:val="00792F1B"/>
    <w:rsid w:val="00793271"/>
    <w:rsid w:val="0079673E"/>
    <w:rsid w:val="0079689C"/>
    <w:rsid w:val="007A0F97"/>
    <w:rsid w:val="007A0FC8"/>
    <w:rsid w:val="007A3472"/>
    <w:rsid w:val="007B2684"/>
    <w:rsid w:val="007B34B4"/>
    <w:rsid w:val="007B368B"/>
    <w:rsid w:val="007B532B"/>
    <w:rsid w:val="007B5449"/>
    <w:rsid w:val="007B5BA4"/>
    <w:rsid w:val="007B6018"/>
    <w:rsid w:val="007B6884"/>
    <w:rsid w:val="007B7CE7"/>
    <w:rsid w:val="007C0C65"/>
    <w:rsid w:val="007D00A0"/>
    <w:rsid w:val="007D0E39"/>
    <w:rsid w:val="007D3AFC"/>
    <w:rsid w:val="007E04E5"/>
    <w:rsid w:val="007E0CEE"/>
    <w:rsid w:val="007E100E"/>
    <w:rsid w:val="007F5382"/>
    <w:rsid w:val="007F62E9"/>
    <w:rsid w:val="007F7714"/>
    <w:rsid w:val="008011D7"/>
    <w:rsid w:val="008058B7"/>
    <w:rsid w:val="00810143"/>
    <w:rsid w:val="0081030E"/>
    <w:rsid w:val="00813A54"/>
    <w:rsid w:val="008143AD"/>
    <w:rsid w:val="00814C6E"/>
    <w:rsid w:val="008171AB"/>
    <w:rsid w:val="00820FB4"/>
    <w:rsid w:val="008226F1"/>
    <w:rsid w:val="00822845"/>
    <w:rsid w:val="008238D4"/>
    <w:rsid w:val="00824AED"/>
    <w:rsid w:val="008258DF"/>
    <w:rsid w:val="00826D3B"/>
    <w:rsid w:val="00830497"/>
    <w:rsid w:val="008353B5"/>
    <w:rsid w:val="0083761F"/>
    <w:rsid w:val="00842F0A"/>
    <w:rsid w:val="00846E13"/>
    <w:rsid w:val="0085213F"/>
    <w:rsid w:val="008600C6"/>
    <w:rsid w:val="008639EA"/>
    <w:rsid w:val="00870272"/>
    <w:rsid w:val="00870389"/>
    <w:rsid w:val="008720F5"/>
    <w:rsid w:val="008728FD"/>
    <w:rsid w:val="00875901"/>
    <w:rsid w:val="00884DDA"/>
    <w:rsid w:val="00885BE9"/>
    <w:rsid w:val="008954B3"/>
    <w:rsid w:val="00896BBB"/>
    <w:rsid w:val="00897B5F"/>
    <w:rsid w:val="008A0627"/>
    <w:rsid w:val="008A28B7"/>
    <w:rsid w:val="008A4979"/>
    <w:rsid w:val="008A51D0"/>
    <w:rsid w:val="008A5733"/>
    <w:rsid w:val="008B0073"/>
    <w:rsid w:val="008B2E96"/>
    <w:rsid w:val="008B6D2F"/>
    <w:rsid w:val="008B79F9"/>
    <w:rsid w:val="008C0FF2"/>
    <w:rsid w:val="008C5FB5"/>
    <w:rsid w:val="008C716A"/>
    <w:rsid w:val="008C7EF2"/>
    <w:rsid w:val="008D2073"/>
    <w:rsid w:val="008D23D7"/>
    <w:rsid w:val="008D35F0"/>
    <w:rsid w:val="008D3BFE"/>
    <w:rsid w:val="008D5379"/>
    <w:rsid w:val="008E0792"/>
    <w:rsid w:val="008E1D9C"/>
    <w:rsid w:val="008E6681"/>
    <w:rsid w:val="008F4A01"/>
    <w:rsid w:val="008F54E7"/>
    <w:rsid w:val="008F5AB8"/>
    <w:rsid w:val="008F676D"/>
    <w:rsid w:val="009049E3"/>
    <w:rsid w:val="00904D29"/>
    <w:rsid w:val="00907016"/>
    <w:rsid w:val="009078C7"/>
    <w:rsid w:val="00910CAF"/>
    <w:rsid w:val="00916937"/>
    <w:rsid w:val="009172C9"/>
    <w:rsid w:val="00923F17"/>
    <w:rsid w:val="009244B8"/>
    <w:rsid w:val="009263B9"/>
    <w:rsid w:val="00927366"/>
    <w:rsid w:val="00936FC0"/>
    <w:rsid w:val="0093795F"/>
    <w:rsid w:val="00937CB9"/>
    <w:rsid w:val="00942696"/>
    <w:rsid w:val="00945417"/>
    <w:rsid w:val="009571AA"/>
    <w:rsid w:val="00957AFC"/>
    <w:rsid w:val="00961519"/>
    <w:rsid w:val="009619BB"/>
    <w:rsid w:val="00965117"/>
    <w:rsid w:val="009654DF"/>
    <w:rsid w:val="009666CD"/>
    <w:rsid w:val="00967BC1"/>
    <w:rsid w:val="00971163"/>
    <w:rsid w:val="009712E3"/>
    <w:rsid w:val="009728AB"/>
    <w:rsid w:val="009742A1"/>
    <w:rsid w:val="009900A9"/>
    <w:rsid w:val="0099248F"/>
    <w:rsid w:val="00996CAF"/>
    <w:rsid w:val="009A170F"/>
    <w:rsid w:val="009A56BC"/>
    <w:rsid w:val="009A7375"/>
    <w:rsid w:val="009A7ACB"/>
    <w:rsid w:val="009A7E3E"/>
    <w:rsid w:val="009B054F"/>
    <w:rsid w:val="009B27BF"/>
    <w:rsid w:val="009B5C04"/>
    <w:rsid w:val="009C0AD7"/>
    <w:rsid w:val="009C1DF2"/>
    <w:rsid w:val="009C2338"/>
    <w:rsid w:val="009D1656"/>
    <w:rsid w:val="009D2444"/>
    <w:rsid w:val="009D74BB"/>
    <w:rsid w:val="009E34A8"/>
    <w:rsid w:val="009E5D85"/>
    <w:rsid w:val="009E7975"/>
    <w:rsid w:val="009F1C2B"/>
    <w:rsid w:val="009F5577"/>
    <w:rsid w:val="009F6EFC"/>
    <w:rsid w:val="009F7C29"/>
    <w:rsid w:val="00A018CF"/>
    <w:rsid w:val="00A03912"/>
    <w:rsid w:val="00A03CFF"/>
    <w:rsid w:val="00A049F1"/>
    <w:rsid w:val="00A04B19"/>
    <w:rsid w:val="00A10891"/>
    <w:rsid w:val="00A117F7"/>
    <w:rsid w:val="00A127AE"/>
    <w:rsid w:val="00A1576A"/>
    <w:rsid w:val="00A1752C"/>
    <w:rsid w:val="00A205D4"/>
    <w:rsid w:val="00A218ED"/>
    <w:rsid w:val="00A23C73"/>
    <w:rsid w:val="00A24165"/>
    <w:rsid w:val="00A25646"/>
    <w:rsid w:val="00A37F97"/>
    <w:rsid w:val="00A41462"/>
    <w:rsid w:val="00A43E7D"/>
    <w:rsid w:val="00A449BF"/>
    <w:rsid w:val="00A458BE"/>
    <w:rsid w:val="00A503B3"/>
    <w:rsid w:val="00A5306B"/>
    <w:rsid w:val="00A536E6"/>
    <w:rsid w:val="00A64643"/>
    <w:rsid w:val="00A66E56"/>
    <w:rsid w:val="00A71BB4"/>
    <w:rsid w:val="00A71FA4"/>
    <w:rsid w:val="00A742AB"/>
    <w:rsid w:val="00A77569"/>
    <w:rsid w:val="00A8214E"/>
    <w:rsid w:val="00A85873"/>
    <w:rsid w:val="00A866DF"/>
    <w:rsid w:val="00A87E9F"/>
    <w:rsid w:val="00A900B3"/>
    <w:rsid w:val="00A9217A"/>
    <w:rsid w:val="00AA008F"/>
    <w:rsid w:val="00AB2DC8"/>
    <w:rsid w:val="00AB3BA1"/>
    <w:rsid w:val="00AB62D2"/>
    <w:rsid w:val="00AB66D7"/>
    <w:rsid w:val="00AC0E30"/>
    <w:rsid w:val="00AC74A2"/>
    <w:rsid w:val="00AC7E81"/>
    <w:rsid w:val="00AD0011"/>
    <w:rsid w:val="00AD33B2"/>
    <w:rsid w:val="00AD4932"/>
    <w:rsid w:val="00AE167A"/>
    <w:rsid w:val="00AE5DE5"/>
    <w:rsid w:val="00AE7B63"/>
    <w:rsid w:val="00AF4C3B"/>
    <w:rsid w:val="00B00DD6"/>
    <w:rsid w:val="00B06B18"/>
    <w:rsid w:val="00B10F9E"/>
    <w:rsid w:val="00B12106"/>
    <w:rsid w:val="00B14E92"/>
    <w:rsid w:val="00B17946"/>
    <w:rsid w:val="00B21538"/>
    <w:rsid w:val="00B21EB3"/>
    <w:rsid w:val="00B22CD5"/>
    <w:rsid w:val="00B26177"/>
    <w:rsid w:val="00B26BB5"/>
    <w:rsid w:val="00B3005A"/>
    <w:rsid w:val="00B3133C"/>
    <w:rsid w:val="00B3168B"/>
    <w:rsid w:val="00B31F84"/>
    <w:rsid w:val="00B409C0"/>
    <w:rsid w:val="00B465F7"/>
    <w:rsid w:val="00B544C4"/>
    <w:rsid w:val="00B56CAE"/>
    <w:rsid w:val="00B70E95"/>
    <w:rsid w:val="00B71CF3"/>
    <w:rsid w:val="00B726ED"/>
    <w:rsid w:val="00B750D9"/>
    <w:rsid w:val="00B77649"/>
    <w:rsid w:val="00B81092"/>
    <w:rsid w:val="00B8123D"/>
    <w:rsid w:val="00B8433F"/>
    <w:rsid w:val="00B8563D"/>
    <w:rsid w:val="00B858E2"/>
    <w:rsid w:val="00B93CD0"/>
    <w:rsid w:val="00BA067F"/>
    <w:rsid w:val="00BA08DE"/>
    <w:rsid w:val="00BA0A73"/>
    <w:rsid w:val="00BA2377"/>
    <w:rsid w:val="00BB0466"/>
    <w:rsid w:val="00BB13D8"/>
    <w:rsid w:val="00BB29B1"/>
    <w:rsid w:val="00BB2E4A"/>
    <w:rsid w:val="00BB6854"/>
    <w:rsid w:val="00BB70D1"/>
    <w:rsid w:val="00BB7492"/>
    <w:rsid w:val="00BC2B7A"/>
    <w:rsid w:val="00BC43BA"/>
    <w:rsid w:val="00BC5EBB"/>
    <w:rsid w:val="00BC7BDB"/>
    <w:rsid w:val="00BD1CB5"/>
    <w:rsid w:val="00BD442B"/>
    <w:rsid w:val="00BE3116"/>
    <w:rsid w:val="00BF0FC8"/>
    <w:rsid w:val="00BF348A"/>
    <w:rsid w:val="00BF3792"/>
    <w:rsid w:val="00BF4BC5"/>
    <w:rsid w:val="00BF61BA"/>
    <w:rsid w:val="00C02BDC"/>
    <w:rsid w:val="00C03F14"/>
    <w:rsid w:val="00C056A9"/>
    <w:rsid w:val="00C07FEB"/>
    <w:rsid w:val="00C1042F"/>
    <w:rsid w:val="00C10CC4"/>
    <w:rsid w:val="00C1185F"/>
    <w:rsid w:val="00C12B76"/>
    <w:rsid w:val="00C153A9"/>
    <w:rsid w:val="00C15450"/>
    <w:rsid w:val="00C2517A"/>
    <w:rsid w:val="00C259E6"/>
    <w:rsid w:val="00C268A5"/>
    <w:rsid w:val="00C315FD"/>
    <w:rsid w:val="00C31A1E"/>
    <w:rsid w:val="00C31CE8"/>
    <w:rsid w:val="00C363BD"/>
    <w:rsid w:val="00C41623"/>
    <w:rsid w:val="00C421E7"/>
    <w:rsid w:val="00C528C7"/>
    <w:rsid w:val="00C532E1"/>
    <w:rsid w:val="00C55745"/>
    <w:rsid w:val="00C56843"/>
    <w:rsid w:val="00C62239"/>
    <w:rsid w:val="00C638C0"/>
    <w:rsid w:val="00C64B5E"/>
    <w:rsid w:val="00C664C3"/>
    <w:rsid w:val="00C7017F"/>
    <w:rsid w:val="00C731A7"/>
    <w:rsid w:val="00C75928"/>
    <w:rsid w:val="00C815EA"/>
    <w:rsid w:val="00C8198D"/>
    <w:rsid w:val="00C83070"/>
    <w:rsid w:val="00C90377"/>
    <w:rsid w:val="00C95A31"/>
    <w:rsid w:val="00C95BAF"/>
    <w:rsid w:val="00C96931"/>
    <w:rsid w:val="00C97516"/>
    <w:rsid w:val="00CA048D"/>
    <w:rsid w:val="00CA110D"/>
    <w:rsid w:val="00CA1191"/>
    <w:rsid w:val="00CA1E5A"/>
    <w:rsid w:val="00CA2A06"/>
    <w:rsid w:val="00CA35B3"/>
    <w:rsid w:val="00CA5541"/>
    <w:rsid w:val="00CB3C72"/>
    <w:rsid w:val="00CB3F3E"/>
    <w:rsid w:val="00CB6857"/>
    <w:rsid w:val="00CC7257"/>
    <w:rsid w:val="00CD19BE"/>
    <w:rsid w:val="00CD3B78"/>
    <w:rsid w:val="00CD44DA"/>
    <w:rsid w:val="00CD4B55"/>
    <w:rsid w:val="00CD4EFA"/>
    <w:rsid w:val="00CD729D"/>
    <w:rsid w:val="00CD7E99"/>
    <w:rsid w:val="00CE3692"/>
    <w:rsid w:val="00CE4D12"/>
    <w:rsid w:val="00CE6E63"/>
    <w:rsid w:val="00CE7913"/>
    <w:rsid w:val="00CF08C5"/>
    <w:rsid w:val="00CF094D"/>
    <w:rsid w:val="00CF1D61"/>
    <w:rsid w:val="00CF25A2"/>
    <w:rsid w:val="00CF34B8"/>
    <w:rsid w:val="00D01219"/>
    <w:rsid w:val="00D15B02"/>
    <w:rsid w:val="00D163D9"/>
    <w:rsid w:val="00D16AFA"/>
    <w:rsid w:val="00D2253C"/>
    <w:rsid w:val="00D247E7"/>
    <w:rsid w:val="00D24815"/>
    <w:rsid w:val="00D27F95"/>
    <w:rsid w:val="00D315D1"/>
    <w:rsid w:val="00D3186B"/>
    <w:rsid w:val="00D32D8E"/>
    <w:rsid w:val="00D33F26"/>
    <w:rsid w:val="00D34CB2"/>
    <w:rsid w:val="00D3638C"/>
    <w:rsid w:val="00D43CA1"/>
    <w:rsid w:val="00D45D60"/>
    <w:rsid w:val="00D46243"/>
    <w:rsid w:val="00D477E1"/>
    <w:rsid w:val="00D53A2F"/>
    <w:rsid w:val="00D54A9F"/>
    <w:rsid w:val="00D76918"/>
    <w:rsid w:val="00D807EE"/>
    <w:rsid w:val="00D81891"/>
    <w:rsid w:val="00D84A77"/>
    <w:rsid w:val="00D85BDC"/>
    <w:rsid w:val="00D9250E"/>
    <w:rsid w:val="00D931C2"/>
    <w:rsid w:val="00D95C84"/>
    <w:rsid w:val="00D9661B"/>
    <w:rsid w:val="00D96A8C"/>
    <w:rsid w:val="00D96C5F"/>
    <w:rsid w:val="00D97AF5"/>
    <w:rsid w:val="00DA0118"/>
    <w:rsid w:val="00DA11F7"/>
    <w:rsid w:val="00DA38AC"/>
    <w:rsid w:val="00DB6764"/>
    <w:rsid w:val="00DB734A"/>
    <w:rsid w:val="00DC0C3F"/>
    <w:rsid w:val="00DC0C42"/>
    <w:rsid w:val="00DC1F6E"/>
    <w:rsid w:val="00DC4105"/>
    <w:rsid w:val="00DC4CB0"/>
    <w:rsid w:val="00DC7E1A"/>
    <w:rsid w:val="00DD532C"/>
    <w:rsid w:val="00DE0718"/>
    <w:rsid w:val="00DE0AF8"/>
    <w:rsid w:val="00DE1447"/>
    <w:rsid w:val="00DE158C"/>
    <w:rsid w:val="00DE1971"/>
    <w:rsid w:val="00DE215F"/>
    <w:rsid w:val="00DE2D9D"/>
    <w:rsid w:val="00DF2431"/>
    <w:rsid w:val="00DF7425"/>
    <w:rsid w:val="00E03770"/>
    <w:rsid w:val="00E0502F"/>
    <w:rsid w:val="00E0572C"/>
    <w:rsid w:val="00E0669C"/>
    <w:rsid w:val="00E120FB"/>
    <w:rsid w:val="00E16068"/>
    <w:rsid w:val="00E21A71"/>
    <w:rsid w:val="00E25571"/>
    <w:rsid w:val="00E30005"/>
    <w:rsid w:val="00E32733"/>
    <w:rsid w:val="00E365B5"/>
    <w:rsid w:val="00E40DA1"/>
    <w:rsid w:val="00E4163A"/>
    <w:rsid w:val="00E4177E"/>
    <w:rsid w:val="00E41DBA"/>
    <w:rsid w:val="00E44F2F"/>
    <w:rsid w:val="00E4654C"/>
    <w:rsid w:val="00E4682A"/>
    <w:rsid w:val="00E46960"/>
    <w:rsid w:val="00E51591"/>
    <w:rsid w:val="00E64371"/>
    <w:rsid w:val="00E64652"/>
    <w:rsid w:val="00E70843"/>
    <w:rsid w:val="00E73B42"/>
    <w:rsid w:val="00E7506F"/>
    <w:rsid w:val="00E755A0"/>
    <w:rsid w:val="00E75DDD"/>
    <w:rsid w:val="00E76D0E"/>
    <w:rsid w:val="00E81133"/>
    <w:rsid w:val="00E82D12"/>
    <w:rsid w:val="00E84F98"/>
    <w:rsid w:val="00E87841"/>
    <w:rsid w:val="00E97857"/>
    <w:rsid w:val="00E97C38"/>
    <w:rsid w:val="00EA2DAE"/>
    <w:rsid w:val="00EA4057"/>
    <w:rsid w:val="00EA726C"/>
    <w:rsid w:val="00EB3BE8"/>
    <w:rsid w:val="00EB592B"/>
    <w:rsid w:val="00EC0238"/>
    <w:rsid w:val="00EC0A01"/>
    <w:rsid w:val="00EC4671"/>
    <w:rsid w:val="00ED1407"/>
    <w:rsid w:val="00ED27AE"/>
    <w:rsid w:val="00ED27F5"/>
    <w:rsid w:val="00ED2AB8"/>
    <w:rsid w:val="00ED3B31"/>
    <w:rsid w:val="00ED4BF2"/>
    <w:rsid w:val="00ED58CD"/>
    <w:rsid w:val="00EE1085"/>
    <w:rsid w:val="00EE12C6"/>
    <w:rsid w:val="00EE1F98"/>
    <w:rsid w:val="00EE3174"/>
    <w:rsid w:val="00EE3785"/>
    <w:rsid w:val="00EF25A0"/>
    <w:rsid w:val="00EF5221"/>
    <w:rsid w:val="00EF77C3"/>
    <w:rsid w:val="00F002A6"/>
    <w:rsid w:val="00F00BCE"/>
    <w:rsid w:val="00F01E65"/>
    <w:rsid w:val="00F04B2E"/>
    <w:rsid w:val="00F04F07"/>
    <w:rsid w:val="00F0609E"/>
    <w:rsid w:val="00F07640"/>
    <w:rsid w:val="00F10E51"/>
    <w:rsid w:val="00F1360E"/>
    <w:rsid w:val="00F144C7"/>
    <w:rsid w:val="00F14CC8"/>
    <w:rsid w:val="00F21076"/>
    <w:rsid w:val="00F30532"/>
    <w:rsid w:val="00F3252B"/>
    <w:rsid w:val="00F34815"/>
    <w:rsid w:val="00F35F52"/>
    <w:rsid w:val="00F36FEB"/>
    <w:rsid w:val="00F43AE0"/>
    <w:rsid w:val="00F44B08"/>
    <w:rsid w:val="00F53CF8"/>
    <w:rsid w:val="00F5530B"/>
    <w:rsid w:val="00F55AFF"/>
    <w:rsid w:val="00F575F4"/>
    <w:rsid w:val="00F60B1B"/>
    <w:rsid w:val="00F61DB5"/>
    <w:rsid w:val="00F61F02"/>
    <w:rsid w:val="00F63E9F"/>
    <w:rsid w:val="00F674BC"/>
    <w:rsid w:val="00F7134C"/>
    <w:rsid w:val="00F7699B"/>
    <w:rsid w:val="00F864F4"/>
    <w:rsid w:val="00F87528"/>
    <w:rsid w:val="00F87DFC"/>
    <w:rsid w:val="00F87E01"/>
    <w:rsid w:val="00F91CE5"/>
    <w:rsid w:val="00F926C1"/>
    <w:rsid w:val="00F930B7"/>
    <w:rsid w:val="00F94F75"/>
    <w:rsid w:val="00F96CE8"/>
    <w:rsid w:val="00F97252"/>
    <w:rsid w:val="00FA4454"/>
    <w:rsid w:val="00FA5AC9"/>
    <w:rsid w:val="00FA7954"/>
    <w:rsid w:val="00FB6FCD"/>
    <w:rsid w:val="00FC1C6F"/>
    <w:rsid w:val="00FC22EF"/>
    <w:rsid w:val="00FC2BF2"/>
    <w:rsid w:val="00FD0BA7"/>
    <w:rsid w:val="00FD4C70"/>
    <w:rsid w:val="00FD4C75"/>
    <w:rsid w:val="00FE05F0"/>
    <w:rsid w:val="00FE181F"/>
    <w:rsid w:val="00FE24A2"/>
    <w:rsid w:val="00FE4021"/>
    <w:rsid w:val="00FE5B68"/>
    <w:rsid w:val="00FE5FD1"/>
    <w:rsid w:val="00FF1567"/>
    <w:rsid w:val="00FF3334"/>
    <w:rsid w:val="00FF442A"/>
    <w:rsid w:val="00FF582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C2C7942-F9EB-4934-B8AA-4D39634BE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363B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B0F05"/>
    <w:pPr>
      <w:ind w:left="720"/>
      <w:contextualSpacing/>
    </w:pPr>
  </w:style>
  <w:style w:type="table" w:styleId="a4">
    <w:name w:val="Table Grid"/>
    <w:basedOn w:val="a1"/>
    <w:uiPriority w:val="59"/>
    <w:rsid w:val="00580B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AB3BA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AB3BA1"/>
    <w:rPr>
      <w:rFonts w:ascii="Tahoma" w:hAnsi="Tahoma" w:cs="Tahoma"/>
      <w:sz w:val="16"/>
      <w:szCs w:val="16"/>
    </w:rPr>
  </w:style>
  <w:style w:type="paragraph" w:styleId="2">
    <w:name w:val="Body Text Indent 2"/>
    <w:basedOn w:val="a"/>
    <w:link w:val="20"/>
    <w:uiPriority w:val="99"/>
    <w:semiHidden/>
    <w:unhideWhenUsed/>
    <w:rsid w:val="00A25646"/>
    <w:pPr>
      <w:spacing w:after="120" w:line="480" w:lineRule="auto"/>
      <w:ind w:left="283"/>
    </w:pPr>
    <w:rPr>
      <w:rFonts w:eastAsiaTheme="minorEastAsia"/>
      <w:lang w:eastAsia="ru-RU"/>
    </w:rPr>
  </w:style>
  <w:style w:type="character" w:customStyle="1" w:styleId="20">
    <w:name w:val="Основной текст с отступом 2 Знак"/>
    <w:basedOn w:val="a0"/>
    <w:link w:val="2"/>
    <w:uiPriority w:val="99"/>
    <w:semiHidden/>
    <w:rsid w:val="00A25646"/>
    <w:rPr>
      <w:rFonts w:eastAsiaTheme="minorEastAsia"/>
      <w:lang w:eastAsia="ru-RU"/>
    </w:rPr>
  </w:style>
  <w:style w:type="paragraph" w:styleId="a7">
    <w:name w:val="caption"/>
    <w:basedOn w:val="a"/>
    <w:next w:val="a"/>
    <w:uiPriority w:val="35"/>
    <w:unhideWhenUsed/>
    <w:qFormat/>
    <w:rsid w:val="00601FBF"/>
    <w:pPr>
      <w:spacing w:line="240" w:lineRule="auto"/>
    </w:pPr>
    <w:rPr>
      <w:b/>
      <w:bCs/>
      <w:color w:val="4F81BD" w:themeColor="accent1"/>
      <w:sz w:val="18"/>
      <w:szCs w:val="18"/>
    </w:rPr>
  </w:style>
  <w:style w:type="paragraph" w:customStyle="1" w:styleId="21">
    <w:name w:val="Абзац списка2"/>
    <w:basedOn w:val="a"/>
    <w:rsid w:val="00CA1191"/>
    <w:pPr>
      <w:spacing w:after="0" w:line="240" w:lineRule="auto"/>
      <w:ind w:left="720"/>
      <w:contextualSpacing/>
      <w:jc w:val="both"/>
    </w:pPr>
    <w:rPr>
      <w:rFonts w:ascii="Calibri" w:eastAsia="Times New Roman" w:hAnsi="Calibri" w:cs="Times New Roman"/>
      <w:lang w:val="uk-UA"/>
    </w:rPr>
  </w:style>
  <w:style w:type="paragraph" w:styleId="a8">
    <w:name w:val="header"/>
    <w:basedOn w:val="a"/>
    <w:link w:val="a9"/>
    <w:uiPriority w:val="99"/>
    <w:unhideWhenUsed/>
    <w:rsid w:val="004804D0"/>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4804D0"/>
  </w:style>
  <w:style w:type="paragraph" w:styleId="aa">
    <w:name w:val="footer"/>
    <w:basedOn w:val="a"/>
    <w:link w:val="ab"/>
    <w:uiPriority w:val="99"/>
    <w:unhideWhenUsed/>
    <w:rsid w:val="004804D0"/>
    <w:pPr>
      <w:tabs>
        <w:tab w:val="center" w:pos="4677"/>
        <w:tab w:val="right" w:pos="9355"/>
      </w:tabs>
      <w:spacing w:after="0" w:line="240" w:lineRule="auto"/>
    </w:pPr>
  </w:style>
  <w:style w:type="character" w:customStyle="1" w:styleId="ab">
    <w:name w:val="Нижний колонтитул Знак"/>
    <w:basedOn w:val="a0"/>
    <w:link w:val="aa"/>
    <w:uiPriority w:val="99"/>
    <w:rsid w:val="004804D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9.xml"/><Relationship Id="rId117" Type="http://schemas.openxmlformats.org/officeDocument/2006/relationships/chart" Target="charts/chart110.xml"/><Relationship Id="rId21" Type="http://schemas.openxmlformats.org/officeDocument/2006/relationships/chart" Target="charts/chart14.xml"/><Relationship Id="rId42" Type="http://schemas.openxmlformats.org/officeDocument/2006/relationships/chart" Target="charts/chart35.xml"/><Relationship Id="rId47" Type="http://schemas.openxmlformats.org/officeDocument/2006/relationships/chart" Target="charts/chart40.xml"/><Relationship Id="rId63" Type="http://schemas.openxmlformats.org/officeDocument/2006/relationships/chart" Target="charts/chart56.xml"/><Relationship Id="rId68" Type="http://schemas.openxmlformats.org/officeDocument/2006/relationships/chart" Target="charts/chart61.xml"/><Relationship Id="rId84" Type="http://schemas.openxmlformats.org/officeDocument/2006/relationships/chart" Target="charts/chart77.xml"/><Relationship Id="rId89" Type="http://schemas.openxmlformats.org/officeDocument/2006/relationships/chart" Target="charts/chart82.xml"/><Relationship Id="rId112" Type="http://schemas.openxmlformats.org/officeDocument/2006/relationships/chart" Target="charts/chart105.xml"/><Relationship Id="rId16" Type="http://schemas.openxmlformats.org/officeDocument/2006/relationships/chart" Target="charts/chart9.xml"/><Relationship Id="rId107" Type="http://schemas.openxmlformats.org/officeDocument/2006/relationships/chart" Target="charts/chart100.xml"/><Relationship Id="rId11" Type="http://schemas.openxmlformats.org/officeDocument/2006/relationships/chart" Target="charts/chart4.xml"/><Relationship Id="rId32" Type="http://schemas.openxmlformats.org/officeDocument/2006/relationships/chart" Target="charts/chart25.xml"/><Relationship Id="rId37" Type="http://schemas.openxmlformats.org/officeDocument/2006/relationships/chart" Target="charts/chart30.xml"/><Relationship Id="rId53" Type="http://schemas.openxmlformats.org/officeDocument/2006/relationships/chart" Target="charts/chart46.xml"/><Relationship Id="rId58" Type="http://schemas.openxmlformats.org/officeDocument/2006/relationships/chart" Target="charts/chart51.xml"/><Relationship Id="rId74" Type="http://schemas.openxmlformats.org/officeDocument/2006/relationships/chart" Target="charts/chart67.xml"/><Relationship Id="rId79" Type="http://schemas.openxmlformats.org/officeDocument/2006/relationships/chart" Target="charts/chart72.xml"/><Relationship Id="rId102" Type="http://schemas.openxmlformats.org/officeDocument/2006/relationships/chart" Target="charts/chart95.xml"/><Relationship Id="rId123"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chart" Target="charts/chart54.xml"/><Relationship Id="rId82" Type="http://schemas.openxmlformats.org/officeDocument/2006/relationships/chart" Target="charts/chart75.xml"/><Relationship Id="rId90" Type="http://schemas.openxmlformats.org/officeDocument/2006/relationships/chart" Target="charts/chart83.xml"/><Relationship Id="rId95" Type="http://schemas.openxmlformats.org/officeDocument/2006/relationships/chart" Target="charts/chart88.xml"/><Relationship Id="rId19" Type="http://schemas.openxmlformats.org/officeDocument/2006/relationships/chart" Target="charts/chart1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chart" Target="charts/chart20.xml"/><Relationship Id="rId30" Type="http://schemas.openxmlformats.org/officeDocument/2006/relationships/chart" Target="charts/chart23.xml"/><Relationship Id="rId35" Type="http://schemas.openxmlformats.org/officeDocument/2006/relationships/chart" Target="charts/chart28.xml"/><Relationship Id="rId43" Type="http://schemas.openxmlformats.org/officeDocument/2006/relationships/chart" Target="charts/chart36.xml"/><Relationship Id="rId48" Type="http://schemas.openxmlformats.org/officeDocument/2006/relationships/chart" Target="charts/chart41.xml"/><Relationship Id="rId56" Type="http://schemas.openxmlformats.org/officeDocument/2006/relationships/chart" Target="charts/chart49.xml"/><Relationship Id="rId64" Type="http://schemas.openxmlformats.org/officeDocument/2006/relationships/chart" Target="charts/chart57.xml"/><Relationship Id="rId69" Type="http://schemas.openxmlformats.org/officeDocument/2006/relationships/chart" Target="charts/chart62.xml"/><Relationship Id="rId77" Type="http://schemas.openxmlformats.org/officeDocument/2006/relationships/chart" Target="charts/chart70.xml"/><Relationship Id="rId100" Type="http://schemas.openxmlformats.org/officeDocument/2006/relationships/chart" Target="charts/chart93.xml"/><Relationship Id="rId105" Type="http://schemas.openxmlformats.org/officeDocument/2006/relationships/chart" Target="charts/chart98.xml"/><Relationship Id="rId113" Type="http://schemas.openxmlformats.org/officeDocument/2006/relationships/chart" Target="charts/chart106.xml"/><Relationship Id="rId118" Type="http://schemas.openxmlformats.org/officeDocument/2006/relationships/chart" Target="charts/chart111.xml"/><Relationship Id="rId8" Type="http://schemas.openxmlformats.org/officeDocument/2006/relationships/chart" Target="charts/chart1.xml"/><Relationship Id="rId51" Type="http://schemas.openxmlformats.org/officeDocument/2006/relationships/chart" Target="charts/chart44.xml"/><Relationship Id="rId72" Type="http://schemas.openxmlformats.org/officeDocument/2006/relationships/chart" Target="charts/chart65.xml"/><Relationship Id="rId80" Type="http://schemas.openxmlformats.org/officeDocument/2006/relationships/chart" Target="charts/chart73.xml"/><Relationship Id="rId85" Type="http://schemas.openxmlformats.org/officeDocument/2006/relationships/chart" Target="charts/chart78.xml"/><Relationship Id="rId93" Type="http://schemas.openxmlformats.org/officeDocument/2006/relationships/chart" Target="charts/chart86.xml"/><Relationship Id="rId98" Type="http://schemas.openxmlformats.org/officeDocument/2006/relationships/chart" Target="charts/chart91.xml"/><Relationship Id="rId121" Type="http://schemas.openxmlformats.org/officeDocument/2006/relationships/header" Target="header1.xml"/><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8.xml"/><Relationship Id="rId33" Type="http://schemas.openxmlformats.org/officeDocument/2006/relationships/chart" Target="charts/chart26.xml"/><Relationship Id="rId38" Type="http://schemas.openxmlformats.org/officeDocument/2006/relationships/chart" Target="charts/chart31.xml"/><Relationship Id="rId46" Type="http://schemas.openxmlformats.org/officeDocument/2006/relationships/chart" Target="charts/chart39.xml"/><Relationship Id="rId59" Type="http://schemas.openxmlformats.org/officeDocument/2006/relationships/chart" Target="charts/chart52.xml"/><Relationship Id="rId67" Type="http://schemas.openxmlformats.org/officeDocument/2006/relationships/chart" Target="charts/chart60.xml"/><Relationship Id="rId103" Type="http://schemas.openxmlformats.org/officeDocument/2006/relationships/chart" Target="charts/chart96.xml"/><Relationship Id="rId108" Type="http://schemas.openxmlformats.org/officeDocument/2006/relationships/chart" Target="charts/chart101.xml"/><Relationship Id="rId116" Type="http://schemas.openxmlformats.org/officeDocument/2006/relationships/chart" Target="charts/chart109.xml"/><Relationship Id="rId124" Type="http://schemas.openxmlformats.org/officeDocument/2006/relationships/theme" Target="theme/theme1.xml"/><Relationship Id="rId20" Type="http://schemas.openxmlformats.org/officeDocument/2006/relationships/chart" Target="charts/chart13.xml"/><Relationship Id="rId41" Type="http://schemas.openxmlformats.org/officeDocument/2006/relationships/chart" Target="charts/chart34.xml"/><Relationship Id="rId54" Type="http://schemas.openxmlformats.org/officeDocument/2006/relationships/chart" Target="charts/chart47.xml"/><Relationship Id="rId62" Type="http://schemas.openxmlformats.org/officeDocument/2006/relationships/chart" Target="charts/chart55.xml"/><Relationship Id="rId70" Type="http://schemas.openxmlformats.org/officeDocument/2006/relationships/chart" Target="charts/chart63.xml"/><Relationship Id="rId75" Type="http://schemas.openxmlformats.org/officeDocument/2006/relationships/chart" Target="charts/chart68.xml"/><Relationship Id="rId83" Type="http://schemas.openxmlformats.org/officeDocument/2006/relationships/chart" Target="charts/chart76.xml"/><Relationship Id="rId88" Type="http://schemas.openxmlformats.org/officeDocument/2006/relationships/chart" Target="charts/chart81.xml"/><Relationship Id="rId91" Type="http://schemas.openxmlformats.org/officeDocument/2006/relationships/chart" Target="charts/chart84.xml"/><Relationship Id="rId96" Type="http://schemas.openxmlformats.org/officeDocument/2006/relationships/chart" Target="charts/chart89.xml"/><Relationship Id="rId111" Type="http://schemas.openxmlformats.org/officeDocument/2006/relationships/chart" Target="charts/chart10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chart" Target="charts/chart21.xml"/><Relationship Id="rId36" Type="http://schemas.openxmlformats.org/officeDocument/2006/relationships/chart" Target="charts/chart29.xml"/><Relationship Id="rId49" Type="http://schemas.openxmlformats.org/officeDocument/2006/relationships/chart" Target="charts/chart42.xml"/><Relationship Id="rId57" Type="http://schemas.openxmlformats.org/officeDocument/2006/relationships/chart" Target="charts/chart50.xml"/><Relationship Id="rId106" Type="http://schemas.openxmlformats.org/officeDocument/2006/relationships/chart" Target="charts/chart99.xml"/><Relationship Id="rId114" Type="http://schemas.openxmlformats.org/officeDocument/2006/relationships/chart" Target="charts/chart107.xml"/><Relationship Id="rId119" Type="http://schemas.openxmlformats.org/officeDocument/2006/relationships/chart" Target="charts/chart112.xml"/><Relationship Id="rId10" Type="http://schemas.openxmlformats.org/officeDocument/2006/relationships/chart" Target="charts/chart3.xml"/><Relationship Id="rId31" Type="http://schemas.openxmlformats.org/officeDocument/2006/relationships/chart" Target="charts/chart24.xml"/><Relationship Id="rId44" Type="http://schemas.openxmlformats.org/officeDocument/2006/relationships/chart" Target="charts/chart37.xml"/><Relationship Id="rId52" Type="http://schemas.openxmlformats.org/officeDocument/2006/relationships/chart" Target="charts/chart45.xml"/><Relationship Id="rId60" Type="http://schemas.openxmlformats.org/officeDocument/2006/relationships/chart" Target="charts/chart53.xml"/><Relationship Id="rId65" Type="http://schemas.openxmlformats.org/officeDocument/2006/relationships/chart" Target="charts/chart58.xml"/><Relationship Id="rId73" Type="http://schemas.openxmlformats.org/officeDocument/2006/relationships/chart" Target="charts/chart66.xml"/><Relationship Id="rId78" Type="http://schemas.openxmlformats.org/officeDocument/2006/relationships/chart" Target="charts/chart71.xml"/><Relationship Id="rId81" Type="http://schemas.openxmlformats.org/officeDocument/2006/relationships/chart" Target="charts/chart74.xml"/><Relationship Id="rId86" Type="http://schemas.openxmlformats.org/officeDocument/2006/relationships/chart" Target="charts/chart79.xml"/><Relationship Id="rId94" Type="http://schemas.openxmlformats.org/officeDocument/2006/relationships/chart" Target="charts/chart87.xml"/><Relationship Id="rId99" Type="http://schemas.openxmlformats.org/officeDocument/2006/relationships/chart" Target="charts/chart92.xml"/><Relationship Id="rId101" Type="http://schemas.openxmlformats.org/officeDocument/2006/relationships/chart" Target="charts/chart94.xml"/><Relationship Id="rId122" Type="http://schemas.openxmlformats.org/officeDocument/2006/relationships/header" Target="header2.xml"/><Relationship Id="rId4" Type="http://schemas.openxmlformats.org/officeDocument/2006/relationships/settings" Target="settings.xml"/><Relationship Id="rId9" Type="http://schemas.openxmlformats.org/officeDocument/2006/relationships/chart" Target="charts/chart2.xml"/><Relationship Id="rId13" Type="http://schemas.openxmlformats.org/officeDocument/2006/relationships/chart" Target="charts/chart6.xml"/><Relationship Id="rId18" Type="http://schemas.openxmlformats.org/officeDocument/2006/relationships/chart" Target="charts/chart11.xml"/><Relationship Id="rId39" Type="http://schemas.openxmlformats.org/officeDocument/2006/relationships/chart" Target="charts/chart32.xml"/><Relationship Id="rId109" Type="http://schemas.openxmlformats.org/officeDocument/2006/relationships/chart" Target="charts/chart102.xml"/><Relationship Id="rId34" Type="http://schemas.openxmlformats.org/officeDocument/2006/relationships/chart" Target="charts/chart27.xml"/><Relationship Id="rId50" Type="http://schemas.openxmlformats.org/officeDocument/2006/relationships/chart" Target="charts/chart43.xml"/><Relationship Id="rId55" Type="http://schemas.openxmlformats.org/officeDocument/2006/relationships/chart" Target="charts/chart48.xml"/><Relationship Id="rId76" Type="http://schemas.openxmlformats.org/officeDocument/2006/relationships/chart" Target="charts/chart69.xml"/><Relationship Id="rId97" Type="http://schemas.openxmlformats.org/officeDocument/2006/relationships/chart" Target="charts/chart90.xml"/><Relationship Id="rId104" Type="http://schemas.openxmlformats.org/officeDocument/2006/relationships/chart" Target="charts/chart97.xml"/><Relationship Id="rId120" Type="http://schemas.openxmlformats.org/officeDocument/2006/relationships/chart" Target="charts/chart113.xml"/><Relationship Id="rId7" Type="http://schemas.openxmlformats.org/officeDocument/2006/relationships/endnotes" Target="endnotes.xml"/><Relationship Id="rId71" Type="http://schemas.openxmlformats.org/officeDocument/2006/relationships/chart" Target="charts/chart64.xml"/><Relationship Id="rId92" Type="http://schemas.openxmlformats.org/officeDocument/2006/relationships/chart" Target="charts/chart85.xml"/><Relationship Id="rId2" Type="http://schemas.openxmlformats.org/officeDocument/2006/relationships/numbering" Target="numbering.xml"/><Relationship Id="rId29" Type="http://schemas.openxmlformats.org/officeDocument/2006/relationships/chart" Target="charts/chart22.xml"/><Relationship Id="rId24" Type="http://schemas.openxmlformats.org/officeDocument/2006/relationships/chart" Target="charts/chart17.xml"/><Relationship Id="rId40" Type="http://schemas.openxmlformats.org/officeDocument/2006/relationships/chart" Target="charts/chart33.xml"/><Relationship Id="rId45" Type="http://schemas.openxmlformats.org/officeDocument/2006/relationships/chart" Target="charts/chart38.xml"/><Relationship Id="rId66" Type="http://schemas.openxmlformats.org/officeDocument/2006/relationships/chart" Target="charts/chart59.xml"/><Relationship Id="rId87" Type="http://schemas.openxmlformats.org/officeDocument/2006/relationships/chart" Target="charts/chart80.xml"/><Relationship Id="rId110" Type="http://schemas.openxmlformats.org/officeDocument/2006/relationships/chart" Target="charts/chart103.xml"/><Relationship Id="rId115" Type="http://schemas.openxmlformats.org/officeDocument/2006/relationships/chart" Target="charts/chart108.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10.xml"/></Relationships>
</file>

<file path=word/charts/_rels/chart100.xml.rels><?xml version="1.0" encoding="UTF-8" standalone="yes"?>
<Relationships xmlns="http://schemas.openxmlformats.org/package/2006/relationships"><Relationship Id="rId2" Type="http://schemas.openxmlformats.org/officeDocument/2006/relationships/package" Target="../embeddings/_____Microsoft_Excel57.xlsx"/><Relationship Id="rId1" Type="http://schemas.openxmlformats.org/officeDocument/2006/relationships/themeOverride" Target="../theme/themeOverride48.xml"/></Relationships>
</file>

<file path=word/charts/_rels/chart101.xml.rels><?xml version="1.0" encoding="UTF-8" standalone="yes"?>
<Relationships xmlns="http://schemas.openxmlformats.org/package/2006/relationships"><Relationship Id="rId2" Type="http://schemas.openxmlformats.org/officeDocument/2006/relationships/package" Target="../embeddings/_____Microsoft_Excel58.xlsx"/><Relationship Id="rId1" Type="http://schemas.openxmlformats.org/officeDocument/2006/relationships/themeOverride" Target="../theme/themeOverride49.xml"/></Relationships>
</file>

<file path=word/charts/_rels/chart102.xml.rels><?xml version="1.0" encoding="UTF-8" standalone="yes"?>
<Relationships xmlns="http://schemas.openxmlformats.org/package/2006/relationships"><Relationship Id="rId2" Type="http://schemas.openxmlformats.org/officeDocument/2006/relationships/package" Target="../embeddings/_____Microsoft_Excel59.xlsx"/><Relationship Id="rId1" Type="http://schemas.openxmlformats.org/officeDocument/2006/relationships/themeOverride" Target="../theme/themeOverride50.xml"/></Relationships>
</file>

<file path=word/charts/_rels/chart103.xml.rels><?xml version="1.0" encoding="UTF-8" standalone="yes"?>
<Relationships xmlns="http://schemas.openxmlformats.org/package/2006/relationships"><Relationship Id="rId2" Type="http://schemas.openxmlformats.org/officeDocument/2006/relationships/package" Target="../embeddings/_____Microsoft_Excel60.xlsx"/><Relationship Id="rId1" Type="http://schemas.openxmlformats.org/officeDocument/2006/relationships/themeOverride" Target="../theme/themeOverride51.xml"/></Relationships>
</file>

<file path=word/charts/_rels/chart104.xml.rels><?xml version="1.0" encoding="UTF-8" standalone="yes"?>
<Relationships xmlns="http://schemas.openxmlformats.org/package/2006/relationships"><Relationship Id="rId2" Type="http://schemas.openxmlformats.org/officeDocument/2006/relationships/package" Target="../embeddings/_____Microsoft_Excel61.xlsx"/><Relationship Id="rId1" Type="http://schemas.openxmlformats.org/officeDocument/2006/relationships/themeOverride" Target="../theme/themeOverride52.xml"/></Relationships>
</file>

<file path=word/charts/_rels/chart105.xml.rels><?xml version="1.0" encoding="UTF-8" standalone="yes"?>
<Relationships xmlns="http://schemas.openxmlformats.org/package/2006/relationships"><Relationship Id="rId2" Type="http://schemas.openxmlformats.org/officeDocument/2006/relationships/package" Target="../embeddings/_____Microsoft_Excel62.xlsx"/><Relationship Id="rId1" Type="http://schemas.openxmlformats.org/officeDocument/2006/relationships/themeOverride" Target="../theme/themeOverride53.xml"/></Relationships>
</file>

<file path=word/charts/_rels/chart106.xml.rels><?xml version="1.0" encoding="UTF-8" standalone="yes"?>
<Relationships xmlns="http://schemas.openxmlformats.org/package/2006/relationships"><Relationship Id="rId2" Type="http://schemas.openxmlformats.org/officeDocument/2006/relationships/package" Target="../embeddings/_____Microsoft_Excel63.xlsx"/><Relationship Id="rId1" Type="http://schemas.openxmlformats.org/officeDocument/2006/relationships/themeOverride" Target="../theme/themeOverride54.xml"/></Relationships>
</file>

<file path=word/charts/_rels/chart107.xml.rels><?xml version="1.0" encoding="UTF-8" standalone="yes"?>
<Relationships xmlns="http://schemas.openxmlformats.org/package/2006/relationships"><Relationship Id="rId2" Type="http://schemas.openxmlformats.org/officeDocument/2006/relationships/package" Target="../embeddings/_____Microsoft_Excel64.xlsx"/><Relationship Id="rId1" Type="http://schemas.openxmlformats.org/officeDocument/2006/relationships/themeOverride" Target="../theme/themeOverride55.xml"/></Relationships>
</file>

<file path=word/charts/_rels/chart108.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4;&#1086;&#1083;&#1086;&#1076;&#1100;%20&#1110;%20&#1089;&#1087;&#1086;&#1088;&#1090;.xlsx" TargetMode="External"/></Relationships>
</file>

<file path=word/charts/_rels/chart109.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4;&#1086;&#1083;&#1086;&#1076;&#1100;%20&#1110;%20&#1089;&#1087;&#1086;&#1088;&#1090;.xlsx" TargetMode="Externa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1.xml"/></Relationships>
</file>

<file path=word/charts/_rels/chart110.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4;&#1086;&#1083;&#1086;&#1076;&#1100;%20&#1110;%20&#1089;&#1087;&#1086;&#1088;&#1090;.xlsx" TargetMode="External"/></Relationships>
</file>

<file path=word/charts/_rels/chart111.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4;&#1086;&#1083;&#1086;&#1076;&#1100;%20&#1110;%20&#1089;&#1087;&#1086;&#1088;&#1090;.xlsx" TargetMode="External"/></Relationships>
</file>

<file path=word/charts/_rels/chart112.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4;&#1086;&#1083;&#1086;&#1076;&#1100;%20&#1110;%20&#1089;&#1087;&#1086;&#1088;&#1090;.xlsx" TargetMode="External"/></Relationships>
</file>

<file path=word/charts/_rels/chart113.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4;&#1086;&#1083;&#1086;&#1076;&#1100;%20&#1110;%20&#1089;&#1087;&#1086;&#1088;&#1090;.xlsx" TargetMode="Externa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15.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16.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17.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8.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Excel19.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Excel20.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Excel21.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1" Type="http://schemas.openxmlformats.org/officeDocument/2006/relationships/oleObject" Target="file:///\\192.168.101.12\mvk1\DER\&#1042;&#1110;&#1090;&#1072;\&#1047;&#1077;&#1084;&#1077;&#1083;&#1100;&#1085;&#1110;%20&#1074;&#1110;&#1076;&#1085;&#1086;&#1089;&#1080;&#1085;&#1080;.xlsx" TargetMode="External"/></Relationships>
</file>

<file path=word/charts/_rels/chart23.xml.rels><?xml version="1.0" encoding="UTF-8" standalone="yes"?>
<Relationships xmlns="http://schemas.openxmlformats.org/package/2006/relationships"><Relationship Id="rId1" Type="http://schemas.openxmlformats.org/officeDocument/2006/relationships/package" Target="../embeddings/_____Microsoft_Excel22.xlsx"/></Relationships>
</file>

<file path=word/charts/_rels/chart24.xml.rels><?xml version="1.0" encoding="UTF-8" standalone="yes"?>
<Relationships xmlns="http://schemas.openxmlformats.org/package/2006/relationships"><Relationship Id="rId1" Type="http://schemas.openxmlformats.org/officeDocument/2006/relationships/oleObject" Target="file:///\\192.168.101.12\mvk1\DER\&#1042;&#1110;&#1090;&#1072;\&#1047;&#1077;&#1084;&#1077;&#1083;&#1100;&#1085;&#1110;%20&#1074;&#1110;&#1076;&#1085;&#1086;&#1089;&#1080;&#1085;&#1080;.xlsx" TargetMode="External"/></Relationships>
</file>

<file path=word/charts/_rels/chart25.xml.rels><?xml version="1.0" encoding="UTF-8" standalone="yes"?>
<Relationships xmlns="http://schemas.openxmlformats.org/package/2006/relationships"><Relationship Id="rId1" Type="http://schemas.openxmlformats.org/officeDocument/2006/relationships/package" Target="../embeddings/_____Microsoft_Excel23.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_____Microsoft_Excel24.xlsx"/></Relationships>
</file>

<file path=word/charts/_rels/chart27.xml.rels><?xml version="1.0" encoding="UTF-8" standalone="yes"?>
<Relationships xmlns="http://schemas.openxmlformats.org/package/2006/relationships"><Relationship Id="rId2" Type="http://schemas.openxmlformats.org/officeDocument/2006/relationships/package" Target="../embeddings/_____Microsoft_Excel25.xlsx"/><Relationship Id="rId1" Type="http://schemas.openxmlformats.org/officeDocument/2006/relationships/themeOverride" Target="../theme/themeOverride22.xml"/></Relationships>
</file>

<file path=word/charts/_rels/chart28.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78;&#1080;&#1090;&#1083;&#1086;&#1074;&#1077;%20&#1075;&#1086;&#1089;&#1087;&#1086;&#1076;&#1072;&#1088;&#1089;&#1090;&#1074;&#1086;.xlsx" TargetMode="External"/></Relationships>
</file>

<file path=word/charts/_rels/chart29.xml.rels><?xml version="1.0" encoding="UTF-8" standalone="yes"?>
<Relationships xmlns="http://schemas.openxmlformats.org/package/2006/relationships"><Relationship Id="rId2" Type="http://schemas.openxmlformats.org/officeDocument/2006/relationships/package" Target="../embeddings/_____Microsoft_Excel26.xlsx"/><Relationship Id="rId1" Type="http://schemas.openxmlformats.org/officeDocument/2006/relationships/themeOverride" Target="../theme/themeOverride23.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_____Microsoft_Excel27.xlsx"/><Relationship Id="rId1" Type="http://schemas.openxmlformats.org/officeDocument/2006/relationships/themeOverride" Target="../theme/themeOverride24.xml"/></Relationships>
</file>

<file path=word/charts/_rels/chart31.xml.rels><?xml version="1.0" encoding="UTF-8" standalone="yes"?>
<Relationships xmlns="http://schemas.openxmlformats.org/package/2006/relationships"><Relationship Id="rId2" Type="http://schemas.openxmlformats.org/officeDocument/2006/relationships/package" Target="../embeddings/_____Microsoft_Excel28.xlsx"/><Relationship Id="rId1" Type="http://schemas.openxmlformats.org/officeDocument/2006/relationships/themeOverride" Target="../theme/themeOverride25.xml"/></Relationships>
</file>

<file path=word/charts/_rels/chart32.xml.rels><?xml version="1.0" encoding="UTF-8" standalone="yes"?>
<Relationships xmlns="http://schemas.openxmlformats.org/package/2006/relationships"><Relationship Id="rId2" Type="http://schemas.openxmlformats.org/officeDocument/2006/relationships/package" Target="../embeddings/_____Microsoft_Excel29.xlsx"/><Relationship Id="rId1" Type="http://schemas.openxmlformats.org/officeDocument/2006/relationships/themeOverride" Target="../theme/themeOverride26.xml"/></Relationships>
</file>

<file path=word/charts/_rels/chart33.xml.rels><?xml version="1.0" encoding="UTF-8" standalone="yes"?>
<Relationships xmlns="http://schemas.openxmlformats.org/package/2006/relationships"><Relationship Id="rId2" Type="http://schemas.openxmlformats.org/officeDocument/2006/relationships/package" Target="../embeddings/_____Microsoft_Excel30.xlsx"/><Relationship Id="rId1" Type="http://schemas.openxmlformats.org/officeDocument/2006/relationships/themeOverride" Target="../theme/themeOverride27.xml"/></Relationships>
</file>

<file path=word/charts/_rels/chart34.xml.rels><?xml version="1.0" encoding="UTF-8" standalone="yes"?>
<Relationships xmlns="http://schemas.openxmlformats.org/package/2006/relationships"><Relationship Id="rId2" Type="http://schemas.openxmlformats.org/officeDocument/2006/relationships/package" Target="../embeddings/_____Microsoft_Excel31.xlsx"/><Relationship Id="rId1" Type="http://schemas.openxmlformats.org/officeDocument/2006/relationships/themeOverride" Target="../theme/themeOverride28.xml"/></Relationships>
</file>

<file path=word/charts/_rels/chart35.xml.rels><?xml version="1.0" encoding="UTF-8" standalone="yes"?>
<Relationships xmlns="http://schemas.openxmlformats.org/package/2006/relationships"><Relationship Id="rId1" Type="http://schemas.openxmlformats.org/officeDocument/2006/relationships/oleObject" Target="file:///\\192.168.101.12\mvk1\DER\&#1054;&#1082;&#1089;&#1072;&#1085;&#1072;\&#1059;&#1050;&#1043;.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192.168.101.12\mvk1\DER\&#1054;&#1082;&#1089;&#1072;&#1085;&#1072;\&#1059;&#1050;&#1043;.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192.168.101.12\mvk1\DER\&#1054;&#1082;&#1089;&#1072;&#1085;&#1072;\&#1059;&#1050;&#1043;.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192.168.101.12\mvk1\DER\&#1054;&#1082;&#1089;&#1072;&#1085;&#1072;\&#1059;&#1050;&#1043;.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192.168.101.12\mvk1\DER\&#1054;&#1082;&#1089;&#1072;&#1085;&#1072;\&#1059;&#1050;&#1043;.xlsx" TargetMode="Externa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package" Target="../embeddings/_____Microsoft_Excel32.xlsx"/><Relationship Id="rId1" Type="http://schemas.openxmlformats.org/officeDocument/2006/relationships/themeOverride" Target="../theme/themeOverride29.xml"/></Relationships>
</file>

<file path=word/charts/_rels/chart41.xml.rels><?xml version="1.0" encoding="UTF-8" standalone="yes"?>
<Relationships xmlns="http://schemas.openxmlformats.org/package/2006/relationships"><Relationship Id="rId2" Type="http://schemas.openxmlformats.org/officeDocument/2006/relationships/package" Target="../embeddings/_____Microsoft_Excel33.xlsx"/><Relationship Id="rId1" Type="http://schemas.openxmlformats.org/officeDocument/2006/relationships/themeOverride" Target="../theme/themeOverride30.xml"/></Relationships>
</file>

<file path=word/charts/_rels/chart42.xml.rels><?xml version="1.0" encoding="UTF-8" standalone="yes"?>
<Relationships xmlns="http://schemas.openxmlformats.org/package/2006/relationships"><Relationship Id="rId1" Type="http://schemas.openxmlformats.org/officeDocument/2006/relationships/oleObject" Target="file:///\\192.168.101.12\mvk1\DER\&#1054;&#1082;&#1089;&#1072;&#1085;&#1072;\&#1059;&#1050;&#1043;.xlsx" TargetMode="External"/></Relationships>
</file>

<file path=word/charts/_rels/chart43.xml.rels><?xml version="1.0" encoding="UTF-8" standalone="yes"?>
<Relationships xmlns="http://schemas.openxmlformats.org/package/2006/relationships"><Relationship Id="rId2" Type="http://schemas.openxmlformats.org/officeDocument/2006/relationships/package" Target="../embeddings/_____Microsoft_Excel34.xlsx"/><Relationship Id="rId1" Type="http://schemas.openxmlformats.org/officeDocument/2006/relationships/themeOverride" Target="../theme/themeOverride31.xml"/></Relationships>
</file>

<file path=word/charts/_rels/chart44.xml.rels><?xml version="1.0" encoding="UTF-8" standalone="yes"?>
<Relationships xmlns="http://schemas.openxmlformats.org/package/2006/relationships"><Relationship Id="rId1" Type="http://schemas.openxmlformats.org/officeDocument/2006/relationships/package" Target="../embeddings/_____Microsoft_Excel35.xlsx"/></Relationships>
</file>

<file path=word/charts/_rels/chart45.xml.rels><?xml version="1.0" encoding="UTF-8" standalone="yes"?>
<Relationships xmlns="http://schemas.openxmlformats.org/package/2006/relationships"><Relationship Id="rId2" Type="http://schemas.openxmlformats.org/officeDocument/2006/relationships/package" Target="../embeddings/_____Microsoft_Excel36.xlsx"/><Relationship Id="rId1" Type="http://schemas.openxmlformats.org/officeDocument/2006/relationships/themeOverride" Target="../theme/themeOverride32.xml"/></Relationships>
</file>

<file path=word/charts/_rels/chart46.xml.rels><?xml version="1.0" encoding="UTF-8" standalone="yes"?>
<Relationships xmlns="http://schemas.openxmlformats.org/package/2006/relationships"><Relationship Id="rId2" Type="http://schemas.openxmlformats.org/officeDocument/2006/relationships/package" Target="../embeddings/_____Microsoft_Excel37.xlsx"/><Relationship Id="rId1" Type="http://schemas.openxmlformats.org/officeDocument/2006/relationships/themeOverride" Target="../theme/themeOverride33.xml"/></Relationships>
</file>

<file path=word/charts/_rels/chart47.xml.rels><?xml version="1.0" encoding="UTF-8" standalone="yes"?>
<Relationships xmlns="http://schemas.openxmlformats.org/package/2006/relationships"><Relationship Id="rId2" Type="http://schemas.openxmlformats.org/officeDocument/2006/relationships/package" Target="../embeddings/_____Microsoft_Excel38.xlsx"/><Relationship Id="rId1" Type="http://schemas.openxmlformats.org/officeDocument/2006/relationships/themeOverride" Target="../theme/themeOverride34.xml"/></Relationships>
</file>

<file path=word/charts/_rels/chart48.xml.rels><?xml version="1.0" encoding="UTF-8" standalone="yes"?>
<Relationships xmlns="http://schemas.openxmlformats.org/package/2006/relationships"><Relationship Id="rId2" Type="http://schemas.openxmlformats.org/officeDocument/2006/relationships/package" Target="../embeddings/_____Microsoft_Excel39.xlsx"/><Relationship Id="rId1" Type="http://schemas.openxmlformats.org/officeDocument/2006/relationships/themeOverride" Target="../theme/themeOverride35.xml"/></Relationships>
</file>

<file path=word/charts/_rels/chart49.xml.rels><?xml version="1.0" encoding="UTF-8" standalone="yes"?>
<Relationships xmlns="http://schemas.openxmlformats.org/package/2006/relationships"><Relationship Id="rId2" Type="http://schemas.openxmlformats.org/officeDocument/2006/relationships/package" Target="../embeddings/_____Microsoft_Excel40.xlsx"/><Relationship Id="rId1" Type="http://schemas.openxmlformats.org/officeDocument/2006/relationships/themeOverride" Target="../theme/themeOverride36.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2" Type="http://schemas.openxmlformats.org/officeDocument/2006/relationships/package" Target="../embeddings/_____Microsoft_Excel41.xlsx"/><Relationship Id="rId1" Type="http://schemas.openxmlformats.org/officeDocument/2006/relationships/themeOverride" Target="../theme/themeOverride37.xml"/></Relationships>
</file>

<file path=word/charts/_rels/chart51.xml.rels><?xml version="1.0" encoding="UTF-8" standalone="yes"?>
<Relationships xmlns="http://schemas.openxmlformats.org/package/2006/relationships"><Relationship Id="rId2" Type="http://schemas.openxmlformats.org/officeDocument/2006/relationships/package" Target="../embeddings/_____Microsoft_Excel42.xlsx"/><Relationship Id="rId1" Type="http://schemas.openxmlformats.org/officeDocument/2006/relationships/themeOverride" Target="../theme/themeOverride38.xml"/></Relationships>
</file>

<file path=word/charts/_rels/chart52.xml.rels><?xml version="1.0" encoding="UTF-8" standalone="yes"?>
<Relationships xmlns="http://schemas.openxmlformats.org/package/2006/relationships"><Relationship Id="rId2" Type="http://schemas.openxmlformats.org/officeDocument/2006/relationships/package" Target="../embeddings/_____Microsoft_Excel43.xlsx"/><Relationship Id="rId1" Type="http://schemas.openxmlformats.org/officeDocument/2006/relationships/themeOverride" Target="../theme/themeOverride39.xml"/></Relationships>
</file>

<file path=word/charts/_rels/chart53.xml.rels><?xml version="1.0" encoding="UTF-8" standalone="yes"?>
<Relationships xmlns="http://schemas.openxmlformats.org/package/2006/relationships"><Relationship Id="rId2" Type="http://schemas.openxmlformats.org/officeDocument/2006/relationships/package" Target="../embeddings/_____Microsoft_Excel44.xlsx"/><Relationship Id="rId1" Type="http://schemas.openxmlformats.org/officeDocument/2006/relationships/themeOverride" Target="../theme/themeOverride40.xml"/></Relationships>
</file>

<file path=word/charts/_rels/chart54.xml.rels><?xml version="1.0" encoding="UTF-8" standalone="yes"?>
<Relationships xmlns="http://schemas.openxmlformats.org/package/2006/relationships"><Relationship Id="rId2" Type="http://schemas.openxmlformats.org/officeDocument/2006/relationships/package" Target="../embeddings/_____Microsoft_Excel45.xlsx"/><Relationship Id="rId1" Type="http://schemas.openxmlformats.org/officeDocument/2006/relationships/themeOverride" Target="../theme/themeOverride41.xml"/></Relationships>
</file>

<file path=word/charts/_rels/chart55.xml.rels><?xml version="1.0" encoding="UTF-8" standalone="yes"?>
<Relationships xmlns="http://schemas.openxmlformats.org/package/2006/relationships"><Relationship Id="rId2" Type="http://schemas.openxmlformats.org/officeDocument/2006/relationships/package" Target="../embeddings/_____Microsoft_Excel46.xlsx"/><Relationship Id="rId1" Type="http://schemas.openxmlformats.org/officeDocument/2006/relationships/themeOverride" Target="../theme/themeOverride42.xml"/></Relationships>
</file>

<file path=word/charts/_rels/chart56.xml.rels><?xml version="1.0" encoding="UTF-8" standalone="yes"?>
<Relationships xmlns="http://schemas.openxmlformats.org/package/2006/relationships"><Relationship Id="rId2" Type="http://schemas.openxmlformats.org/officeDocument/2006/relationships/package" Target="../embeddings/_____Microsoft_Excel47.xlsx"/><Relationship Id="rId1" Type="http://schemas.openxmlformats.org/officeDocument/2006/relationships/themeOverride" Target="../theme/themeOverride43.xml"/></Relationships>
</file>

<file path=word/charts/_rels/chart57.xml.rels><?xml version="1.0" encoding="UTF-8" standalone="yes"?>
<Relationships xmlns="http://schemas.openxmlformats.org/package/2006/relationships"><Relationship Id="rId2" Type="http://schemas.openxmlformats.org/officeDocument/2006/relationships/package" Target="../embeddings/_____Microsoft_Excel48.xlsx"/><Relationship Id="rId1" Type="http://schemas.openxmlformats.org/officeDocument/2006/relationships/themeOverride" Target="../theme/themeOverride44.xml"/></Relationships>
</file>

<file path=word/charts/_rels/chart58.xml.rels><?xml version="1.0" encoding="UTF-8" standalone="yes"?>
<Relationships xmlns="http://schemas.openxmlformats.org/package/2006/relationships"><Relationship Id="rId3" Type="http://schemas.openxmlformats.org/officeDocument/2006/relationships/package" Target="../embeddings/_____Microsoft_Excel49.xlsx"/><Relationship Id="rId2" Type="http://schemas.microsoft.com/office/2011/relationships/chartColorStyle" Target="colors1.xml"/><Relationship Id="rId1" Type="http://schemas.microsoft.com/office/2011/relationships/chartStyle" Target="style1.xml"/></Relationships>
</file>

<file path=word/charts/_rels/chart59.xml.rels><?xml version="1.0" encoding="UTF-8" standalone="yes"?>
<Relationships xmlns="http://schemas.openxmlformats.org/package/2006/relationships"><Relationship Id="rId1" Type="http://schemas.openxmlformats.org/officeDocument/2006/relationships/oleObject" Target="file:///\\192.168.101.12\mvk1\DER\&#1042;&#1110;&#1090;&#1072;\&#1055;&#1086;&#1082;&#1072;&#1079;&#1085;&#1080;&#1082;&#1080;%20&#1076;&#1083;&#1103;%20&#1055;&#1045;&#1057;&#1056;%202018%20&#1057;&#1045;&#1056;.xlsx" TargetMode="Externa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6.xml"/></Relationships>
</file>

<file path=word/charts/_rels/chart60.xml.rels><?xml version="1.0" encoding="UTF-8" standalone="yes"?>
<Relationships xmlns="http://schemas.openxmlformats.org/package/2006/relationships"><Relationship Id="rId1" Type="http://schemas.openxmlformats.org/officeDocument/2006/relationships/package" Target="../embeddings/_____Microsoft_Excel50.xlsx"/></Relationships>
</file>

<file path=word/charts/_rels/chart61.xml.rels><?xml version="1.0" encoding="UTF-8" standalone="yes"?>
<Relationships xmlns="http://schemas.openxmlformats.org/package/2006/relationships"><Relationship Id="rId1" Type="http://schemas.openxmlformats.org/officeDocument/2006/relationships/oleObject" Target="file:///\\192.168.101.12\mvk1\DER\&#1054;&#1082;&#1089;&#1072;&#1085;&#1072;\&#1055;&#1086;&#1082;&#1072;&#1079;&#1085;&#1080;&#1082;&#1080;%20&#1076;&#1083;&#1103;%20&#1055;&#1045;&#1057;&#1056;%202018%20&#1057;&#1045;&#1056;.xlsx" TargetMode="External"/></Relationships>
</file>

<file path=word/charts/_rels/chart62.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75;&#1088;&#1086;&#1096;&#1086;&#1074;&#1110;%20&#1076;&#1086;&#1093;&#1086;&#1076;&#1080;%20&#1090;&#1072;%20&#1073;&#1077;&#1079;&#1088;&#1086;&#1073;&#1110;&#1090;&#1090;&#1103;.xlsx" TargetMode="External"/></Relationships>
</file>

<file path=word/charts/_rels/chart63.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75;&#1088;&#1086;&#1096;&#1086;&#1074;&#1110;%20&#1076;&#1086;&#1093;&#1086;&#1076;&#1080;%20&#1090;&#1072;%20&#1073;&#1077;&#1079;&#1088;&#1086;&#1073;&#1110;&#1090;&#1090;&#1103;.xlsx" TargetMode="External"/></Relationships>
</file>

<file path=word/charts/_rels/chart64.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9;&#1086;&#1094;&#1110;&#1072;&#1083;&#1100;&#1085;&#1080;&#1081;%20&#1079;&#1072;&#1093;&#1080;&#1089;&#1090;.xlsx" TargetMode="External"/></Relationships>
</file>

<file path=word/charts/_rels/chart65.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9;&#1086;&#1094;&#1110;&#1072;&#1083;&#1100;&#1085;&#1080;&#1081;%20&#1079;&#1072;&#1093;&#1080;&#1089;&#1090;.xlsx" TargetMode="External"/></Relationships>
</file>

<file path=word/charts/_rels/chart66.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9;&#1086;&#1094;&#1110;&#1072;&#1083;&#1100;&#1085;&#1080;&#1081;%20&#1079;&#1072;&#1093;&#1080;&#1089;&#1090;.xlsx" TargetMode="External"/></Relationships>
</file>

<file path=word/charts/_rels/chart67.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9;&#1086;&#1094;&#1110;&#1072;&#1083;&#1100;&#1085;&#1080;&#1081;%20&#1079;&#1072;&#1093;&#1080;&#1089;&#1090;.xlsx" TargetMode="External"/></Relationships>
</file>

<file path=word/charts/_rels/chart68.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9;&#1086;&#1094;&#1110;&#1072;&#1083;&#1100;&#1085;&#1080;&#1081;%20&#1079;&#1072;&#1093;&#1080;&#1089;&#1090;.xlsx" TargetMode="External"/></Relationships>
</file>

<file path=word/charts/_rels/chart69.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9;&#1086;&#1094;&#1110;&#1072;&#1083;&#1100;&#1085;&#1080;&#1081;%20&#1079;&#1072;&#1093;&#1080;&#1089;&#1090;.xlsx" TargetMode="Externa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7.xml"/></Relationships>
</file>

<file path=word/charts/_rels/chart70.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9;&#1086;&#1094;&#1110;&#1072;&#1083;&#1100;&#1085;&#1080;&#1081;%20&#1079;&#1072;&#1093;&#1080;&#1089;&#1090;.xlsx" TargetMode="External"/></Relationships>
</file>

<file path=word/charts/_rels/chart71.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9;&#1086;&#1094;&#1110;&#1072;&#1083;&#1100;&#1085;&#1080;&#1081;%20&#1079;&#1072;&#1093;&#1080;&#1089;&#1090;.xlsx" TargetMode="External"/></Relationships>
</file>

<file path=word/charts/_rels/chart72.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9;&#1086;&#1094;&#1110;&#1072;&#1083;&#1100;&#1085;&#1080;&#1081;%20&#1079;&#1072;&#1093;&#1080;&#1089;&#1090;.xlsx" TargetMode="External"/></Relationships>
</file>

<file path=word/charts/_rels/chart73.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9;&#1086;&#1094;&#1110;&#1072;&#1083;&#1100;&#1085;&#1080;&#1081;%20&#1079;&#1072;&#1093;&#1080;&#1089;&#1090;.xlsx" TargetMode="External"/></Relationships>
</file>

<file path=word/charts/_rels/chart74.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9;&#1086;&#1094;&#1110;&#1072;&#1083;&#1100;&#1085;&#1080;&#1081;%20&#1079;&#1072;&#1093;&#1080;&#1089;&#1090;.xlsx" TargetMode="External"/></Relationships>
</file>

<file path=word/charts/_rels/chart75.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9;&#1086;&#1094;&#1110;&#1072;&#1083;&#1100;&#1085;&#1080;&#1081;%20&#1079;&#1072;&#1093;&#1080;&#1089;&#1090;.xlsx" TargetMode="External"/></Relationships>
</file>

<file path=word/charts/_rels/chart76.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9;&#1086;&#1094;&#1110;&#1072;&#1083;&#1100;&#1085;&#1080;&#1081;%20&#1079;&#1072;&#1093;&#1080;&#1089;&#1090;.xlsx" TargetMode="External"/></Relationships>
</file>

<file path=word/charts/_rels/chart77.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9;&#1086;&#1094;&#1110;&#1072;&#1083;&#1100;&#1085;&#1080;&#1081;%20&#1079;&#1072;&#1093;&#1080;&#1089;&#1090;.xlsx" TargetMode="External"/></Relationships>
</file>

<file path=word/charts/_rels/chart78.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75;&#1088;&#1072;&#1092;&#1110;&#1082;&#1080;%20&#1086;&#1093;&#1086;&#1088;&#1086;&#1085;&#1072;%20&#1079;&#1076;&#1086;&#1088;&#1086;&#1074;&#1103;.xlsx" TargetMode="External"/></Relationships>
</file>

<file path=word/charts/_rels/chart79.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75;&#1088;&#1072;&#1092;&#1110;&#1082;&#1080;%20&#1086;&#1093;&#1086;&#1088;&#1086;&#1085;&#1072;%20&#1079;&#1076;&#1086;&#1088;&#1086;&#1074;&#1103;.xlsx" TargetMode="Externa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8.xml"/></Relationships>
</file>

<file path=word/charts/_rels/chart80.xml.rels><?xml version="1.0" encoding="UTF-8" standalone="yes"?>
<Relationships xmlns="http://schemas.openxmlformats.org/package/2006/relationships"><Relationship Id="rId1" Type="http://schemas.openxmlformats.org/officeDocument/2006/relationships/package" Target="../embeddings/_____Microsoft_Excel51.xlsx"/></Relationships>
</file>

<file path=word/charts/_rels/chart81.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75;&#1088;&#1072;&#1092;&#1110;&#1082;&#1080;%20&#1086;&#1093;&#1086;&#1088;&#1086;&#1085;&#1072;%20&#1079;&#1076;&#1086;&#1088;&#1086;&#1074;&#1103;.xlsx" TargetMode="External"/></Relationships>
</file>

<file path=word/charts/_rels/chart82.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75;&#1088;&#1072;&#1092;&#1110;&#1082;&#1080;%20&#1086;&#1093;&#1086;&#1088;&#1086;&#1085;&#1072;%20&#1079;&#1076;&#1086;&#1088;&#1086;&#1074;&#1103;.xlsx" TargetMode="External"/></Relationships>
</file>

<file path=word/charts/_rels/chart83.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75;&#1088;&#1072;&#1092;&#1110;&#1082;&#1080;%20&#1086;&#1089;&#1074;&#1110;&#1090;&#1072;.xlsx" TargetMode="External"/></Relationships>
</file>

<file path=word/charts/_rels/chart84.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75;&#1088;&#1072;&#1092;&#1110;&#1082;&#1080;%20&#1086;&#1089;&#1074;&#1110;&#1090;&#1072;%20&#1054;&#1082;&#1089;&#1072;&#1085;&#1080;&#1085;&#1110;.xlsx" TargetMode="External"/></Relationships>
</file>

<file path=word/charts/_rels/chart85.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75;&#1088;&#1072;&#1092;&#1110;&#1082;&#1080;%20&#1086;&#1089;&#1074;&#1110;&#1090;&#1072;%20&#1054;&#1082;&#1089;&#1072;&#1085;&#1080;&#1085;&#1110;.xlsx" TargetMode="External"/></Relationships>
</file>

<file path=word/charts/_rels/chart86.xml.rels><?xml version="1.0" encoding="UTF-8" standalone="yes"?>
<Relationships xmlns="http://schemas.openxmlformats.org/package/2006/relationships"><Relationship Id="rId1" Type="http://schemas.openxmlformats.org/officeDocument/2006/relationships/package" Target="../embeddings/_____Microsoft_Excel52.xlsx"/></Relationships>
</file>

<file path=word/charts/_rels/chart87.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75;&#1088;&#1072;&#1092;&#1110;&#1082;&#1080;%20&#1086;&#1089;&#1074;&#1110;&#1090;&#1072;%20&#1054;&#1082;&#1089;&#1072;&#1085;&#1080;&#1085;&#1110;.xlsx" TargetMode="External"/></Relationships>
</file>

<file path=word/charts/_rels/chart88.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75;&#1088;&#1072;&#1092;&#1110;&#1082;&#1080;%20&#1086;&#1089;&#1074;&#1110;&#1090;&#1072;.xlsx" TargetMode="External"/></Relationships>
</file>

<file path=word/charts/_rels/chart89.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75;&#1088;&#1072;&#1092;&#1110;&#1082;&#1080;%20&#1086;&#1089;&#1074;&#1110;&#1090;&#1072;.xlsx" TargetMode="Externa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9.xml"/></Relationships>
</file>

<file path=word/charts/_rels/chart90.xml.rels><?xml version="1.0" encoding="UTF-8" standalone="yes"?>
<Relationships xmlns="http://schemas.openxmlformats.org/package/2006/relationships"><Relationship Id="rId1" Type="http://schemas.openxmlformats.org/officeDocument/2006/relationships/package" Target="../embeddings/_____Microsoft_Excel53.xlsx"/></Relationships>
</file>

<file path=word/charts/_rels/chart91.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75;&#1088;&#1072;&#1092;&#1110;&#1082;&#1080;%20&#1086;&#1089;&#1074;&#1110;&#1090;&#1072;.xlsx" TargetMode="External"/></Relationships>
</file>

<file path=word/charts/_rels/chart92.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2;&#1091;&#1083;&#1100;&#1090;&#1091;&#1088;&#1072;.xlsx" TargetMode="External"/></Relationships>
</file>

<file path=word/charts/_rels/chart93.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2;&#1091;&#1083;&#1100;&#1090;&#1091;&#1088;&#1072;.xlsx" TargetMode="External"/></Relationships>
</file>

<file path=word/charts/_rels/chart94.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2;&#1091;&#1083;&#1100;&#1090;&#1091;&#1088;&#1072;.xlsx" TargetMode="External"/></Relationships>
</file>

<file path=word/charts/_rels/chart95.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2;&#1091;&#1083;&#1100;&#1090;&#1091;&#1088;&#1072;.xlsx" TargetMode="External"/></Relationships>
</file>

<file path=word/charts/_rels/chart96.xml.rels><?xml version="1.0" encoding="UTF-8" standalone="yes"?>
<Relationships xmlns="http://schemas.openxmlformats.org/package/2006/relationships"><Relationship Id="rId1" Type="http://schemas.openxmlformats.org/officeDocument/2006/relationships/oleObject" Target="file:///C:\Users\User\Desktop\&#1055;&#1086;&#1082;&#1072;&#1079;&#1085;&#1080;&#1082;&#1080;%20&#1090;&#1072;%20&#1075;&#1088;&#1072;&#1092;&#1110;&#1082;&#1080;%20&#1076;&#1086;%20&#1055;&#1045;&#1057;&#1056;\&#1082;&#1091;&#1083;&#1100;&#1090;&#1091;&#1088;&#1072;.xlsx" TargetMode="External"/></Relationships>
</file>

<file path=word/charts/_rels/chart97.xml.rels><?xml version="1.0" encoding="UTF-8" standalone="yes"?>
<Relationships xmlns="http://schemas.openxmlformats.org/package/2006/relationships"><Relationship Id="rId2" Type="http://schemas.openxmlformats.org/officeDocument/2006/relationships/package" Target="../embeddings/_____Microsoft_Excel54.xlsx"/><Relationship Id="rId1" Type="http://schemas.openxmlformats.org/officeDocument/2006/relationships/themeOverride" Target="../theme/themeOverride45.xml"/></Relationships>
</file>

<file path=word/charts/_rels/chart98.xml.rels><?xml version="1.0" encoding="UTF-8" standalone="yes"?>
<Relationships xmlns="http://schemas.openxmlformats.org/package/2006/relationships"><Relationship Id="rId2" Type="http://schemas.openxmlformats.org/officeDocument/2006/relationships/package" Target="../embeddings/_____Microsoft_Excel55.xlsx"/><Relationship Id="rId1" Type="http://schemas.openxmlformats.org/officeDocument/2006/relationships/themeOverride" Target="../theme/themeOverride46.xml"/></Relationships>
</file>

<file path=word/charts/_rels/chart99.xml.rels><?xml version="1.0" encoding="UTF-8" standalone="yes"?>
<Relationships xmlns="http://schemas.openxmlformats.org/package/2006/relationships"><Relationship Id="rId2" Type="http://schemas.openxmlformats.org/officeDocument/2006/relationships/package" Target="../embeddings/_____Microsoft_Excel56.xlsx"/><Relationship Id="rId1" Type="http://schemas.openxmlformats.org/officeDocument/2006/relationships/themeOverride" Target="../theme/themeOverride47.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uk-UA" sz="1200">
                <a:latin typeface="Times New Roman" pitchFamily="18" charset="0"/>
                <a:cs typeface="Times New Roman" pitchFamily="18" charset="0"/>
              </a:rPr>
              <a:t>Обсяг прямих іноземних інвестицій, млн.дол.США</a:t>
            </a:r>
          </a:p>
        </c:rich>
      </c:tx>
      <c:layout>
        <c:manualLayout>
          <c:xMode val="edge"/>
          <c:yMode val="edge"/>
          <c:x val="0.15479647671160013"/>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
          <c:y val="0.16798960735968618"/>
          <c:w val="0.97405978913652769"/>
          <c:h val="0.6090066014475467"/>
        </c:manualLayout>
      </c:layout>
      <c:bar3DChart>
        <c:barDir val="col"/>
        <c:grouping val="clustered"/>
        <c:varyColors val="0"/>
        <c:ser>
          <c:idx val="0"/>
          <c:order val="0"/>
          <c:tx>
            <c:strRef>
              <c:f>Лист1!$A$23</c:f>
              <c:strCache>
                <c:ptCount val="1"/>
                <c:pt idx="0">
                  <c:v>Обсяг прямих іноземних інвестицій, млн. дол. США</c:v>
                </c:pt>
              </c:strCache>
            </c:strRef>
          </c:tx>
          <c:invertIfNegative val="0"/>
          <c:dLbls>
            <c:dLbl>
              <c:idx val="0"/>
              <c:layout>
                <c:manualLayout>
                  <c:x val="5.5555555555555558E-3"/>
                  <c:y val="-3.240740740740805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4999999999999953E-2"/>
                  <c:y val="-2.7777777777778585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111111111111124E-2"/>
                  <c:y val="-4.1666666666666692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0555555555555652E-2"/>
                  <c:y val="-3.703703703703745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Лист1!$A$25:$A$28</c:f>
              <c:strCache>
                <c:ptCount val="4"/>
                <c:pt idx="0">
                  <c:v>2014 рік </c:v>
                </c:pt>
                <c:pt idx="1">
                  <c:v>2015 рік</c:v>
                </c:pt>
                <c:pt idx="2">
                  <c:v>2016 рік</c:v>
                </c:pt>
                <c:pt idx="3">
                  <c:v>6 міс. 2017 року</c:v>
                </c:pt>
              </c:strCache>
            </c:strRef>
          </c:cat>
          <c:val>
            <c:numRef>
              <c:f>Лист1!$B$25:$B$28</c:f>
              <c:numCache>
                <c:formatCode>General</c:formatCode>
                <c:ptCount val="4"/>
                <c:pt idx="0">
                  <c:v>96.6</c:v>
                </c:pt>
                <c:pt idx="1">
                  <c:v>82.1</c:v>
                </c:pt>
                <c:pt idx="2">
                  <c:v>81.099999999999994</c:v>
                </c:pt>
                <c:pt idx="3">
                  <c:v>83.6</c:v>
                </c:pt>
              </c:numCache>
            </c:numRef>
          </c:val>
        </c:ser>
        <c:dLbls>
          <c:showLegendKey val="0"/>
          <c:showVal val="0"/>
          <c:showCatName val="0"/>
          <c:showSerName val="0"/>
          <c:showPercent val="0"/>
          <c:showBubbleSize val="0"/>
        </c:dLbls>
        <c:gapWidth val="150"/>
        <c:shape val="cylinder"/>
        <c:axId val="423746208"/>
        <c:axId val="423741112"/>
        <c:axId val="0"/>
      </c:bar3DChart>
      <c:catAx>
        <c:axId val="423746208"/>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423741112"/>
        <c:crosses val="autoZero"/>
        <c:auto val="1"/>
        <c:lblAlgn val="ctr"/>
        <c:lblOffset val="100"/>
        <c:noMultiLvlLbl val="0"/>
      </c:catAx>
      <c:valAx>
        <c:axId val="423741112"/>
        <c:scaling>
          <c:orientation val="minMax"/>
        </c:scaling>
        <c:delete val="1"/>
        <c:axPos val="l"/>
        <c:majorGridlines>
          <c:spPr>
            <a:ln>
              <a:noFill/>
            </a:ln>
          </c:spPr>
        </c:majorGridlines>
        <c:numFmt formatCode="General" sourceLinked="1"/>
        <c:majorTickMark val="out"/>
        <c:minorTickMark val="none"/>
        <c:tickLblPos val="none"/>
        <c:crossAx val="423746208"/>
        <c:crosses val="autoZero"/>
        <c:crossBetween val="between"/>
      </c:valAx>
    </c:plotArea>
    <c:plotVisOnly val="1"/>
    <c:dispBlanksAs val="gap"/>
    <c:showDLblsOverMax val="0"/>
  </c:chart>
  <c:spPr>
    <a:ln>
      <a:noFill/>
    </a:ln>
  </c:sp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uk-UA" sz="1200">
                <a:latin typeface="Times New Roman" pitchFamily="18" charset="0"/>
                <a:cs typeface="Times New Roman" pitchFamily="18" charset="0"/>
              </a:rPr>
              <a:t>Динаміка</a:t>
            </a:r>
            <a:r>
              <a:rPr lang="uk-UA" sz="1200" baseline="0">
                <a:latin typeface="Times New Roman" pitchFamily="18" charset="0"/>
                <a:cs typeface="Times New Roman" pitchFamily="18" charset="0"/>
              </a:rPr>
              <a:t> надходження податків від суб</a:t>
            </a:r>
            <a:r>
              <a:rPr lang="en-US" sz="1200" baseline="0">
                <a:latin typeface="Times New Roman" pitchFamily="18" charset="0"/>
                <a:cs typeface="Times New Roman" pitchFamily="18" charset="0"/>
              </a:rPr>
              <a:t>'</a:t>
            </a:r>
            <a:r>
              <a:rPr lang="uk-UA" sz="1200" baseline="0">
                <a:latin typeface="Times New Roman" pitchFamily="18" charset="0"/>
                <a:cs typeface="Times New Roman" pitchFamily="18" charset="0"/>
              </a:rPr>
              <a:t>єктів</a:t>
            </a:r>
            <a:r>
              <a:rPr lang="en-US" sz="1200" baseline="0">
                <a:latin typeface="Times New Roman" pitchFamily="18" charset="0"/>
                <a:cs typeface="Times New Roman" pitchFamily="18" charset="0"/>
              </a:rPr>
              <a:t> </a:t>
            </a:r>
            <a:r>
              <a:rPr lang="uk-UA" sz="1200" baseline="0">
                <a:latin typeface="Times New Roman" pitchFamily="18" charset="0"/>
                <a:cs typeface="Times New Roman" pitchFamily="18" charset="0"/>
              </a:rPr>
              <a:t>малого і середнього підприємництва, </a:t>
            </a:r>
          </a:p>
          <a:p>
            <a:pPr>
              <a:defRPr/>
            </a:pPr>
            <a:r>
              <a:rPr lang="uk-UA" sz="1200" baseline="0">
                <a:latin typeface="Times New Roman" pitchFamily="18" charset="0"/>
                <a:cs typeface="Times New Roman" pitchFamily="18" charset="0"/>
              </a:rPr>
              <a:t>фізичних осіб-підприємців, млн.грн.</a:t>
            </a:r>
            <a:endParaRPr lang="uk-UA" sz="1200">
              <a:latin typeface="Times New Roman" pitchFamily="18" charset="0"/>
              <a:cs typeface="Times New Roman" pitchFamily="18" charset="0"/>
            </a:endParaRPr>
          </a:p>
        </c:rich>
      </c:tx>
      <c:layout>
        <c:manualLayout>
          <c:xMode val="edge"/>
          <c:yMode val="edge"/>
          <c:x val="0.15588888888888891"/>
          <c:y val="0"/>
        </c:manualLayout>
      </c:layout>
      <c:overlay val="0"/>
    </c:title>
    <c:autoTitleDeleted val="0"/>
    <c:plotArea>
      <c:layout>
        <c:manualLayout>
          <c:layoutTarget val="inner"/>
          <c:xMode val="edge"/>
          <c:yMode val="edge"/>
          <c:x val="3.18379160636766E-2"/>
          <c:y val="0.3655838140553288"/>
          <c:w val="0.93632416787263917"/>
          <c:h val="0.53313276348477834"/>
        </c:manualLayout>
      </c:layout>
      <c:barChart>
        <c:barDir val="col"/>
        <c:grouping val="clustered"/>
        <c:varyColors val="0"/>
        <c:ser>
          <c:idx val="0"/>
          <c:order val="0"/>
          <c:tx>
            <c:strRef>
              <c:f>Лист1!$A$324:$B$324</c:f>
              <c:strCache>
                <c:ptCount val="1"/>
                <c:pt idx="0">
                  <c:v>до зведеного бюджету</c:v>
                </c:pt>
              </c:strCache>
            </c:strRef>
          </c:tx>
          <c:invertIfNegative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Лист1!$C$323:$F$323</c:f>
              <c:strCache>
                <c:ptCount val="4"/>
                <c:pt idx="0">
                  <c:v>2014 рік</c:v>
                </c:pt>
                <c:pt idx="1">
                  <c:v>2015 рік</c:v>
                </c:pt>
                <c:pt idx="2">
                  <c:v>2016 рік</c:v>
                </c:pt>
                <c:pt idx="3">
                  <c:v>9 міс. 2017 року </c:v>
                </c:pt>
              </c:strCache>
            </c:strRef>
          </c:cat>
          <c:val>
            <c:numRef>
              <c:f>Лист1!$C$324:$F$324</c:f>
              <c:numCache>
                <c:formatCode>General</c:formatCode>
                <c:ptCount val="4"/>
                <c:pt idx="0">
                  <c:v>1158.3</c:v>
                </c:pt>
                <c:pt idx="1">
                  <c:v>1459.5</c:v>
                </c:pt>
                <c:pt idx="2">
                  <c:v>1788.5</c:v>
                </c:pt>
                <c:pt idx="3">
                  <c:v>1568.6</c:v>
                </c:pt>
              </c:numCache>
            </c:numRef>
          </c:val>
        </c:ser>
        <c:ser>
          <c:idx val="1"/>
          <c:order val="1"/>
          <c:tx>
            <c:strRef>
              <c:f>Лист1!$A$325:$B$325</c:f>
              <c:strCache>
                <c:ptCount val="1"/>
                <c:pt idx="0">
                  <c:v>до бюджету м. Житомира</c:v>
                </c:pt>
              </c:strCache>
            </c:strRef>
          </c:tx>
          <c:spPr>
            <a:solidFill>
              <a:schemeClr val="accent3">
                <a:lumMod val="75000"/>
              </a:schemeClr>
            </a:solidFill>
          </c:spPr>
          <c:invertIfNegative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Лист1!$C$323:$F$323</c:f>
              <c:strCache>
                <c:ptCount val="4"/>
                <c:pt idx="0">
                  <c:v>2014 рік</c:v>
                </c:pt>
                <c:pt idx="1">
                  <c:v>2015 рік</c:v>
                </c:pt>
                <c:pt idx="2">
                  <c:v>2016 рік</c:v>
                </c:pt>
                <c:pt idx="3">
                  <c:v>9 міс. 2017 року </c:v>
                </c:pt>
              </c:strCache>
            </c:strRef>
          </c:cat>
          <c:val>
            <c:numRef>
              <c:f>Лист1!$C$325:$F$325</c:f>
              <c:numCache>
                <c:formatCode>General</c:formatCode>
                <c:ptCount val="4"/>
                <c:pt idx="0">
                  <c:v>704.5</c:v>
                </c:pt>
                <c:pt idx="1">
                  <c:v>809.2</c:v>
                </c:pt>
                <c:pt idx="2" formatCode="0.0">
                  <c:v>1114</c:v>
                </c:pt>
                <c:pt idx="3">
                  <c:v>935.8</c:v>
                </c:pt>
              </c:numCache>
            </c:numRef>
          </c:val>
        </c:ser>
        <c:dLbls>
          <c:showLegendKey val="0"/>
          <c:showVal val="1"/>
          <c:showCatName val="0"/>
          <c:showSerName val="0"/>
          <c:showPercent val="0"/>
          <c:showBubbleSize val="0"/>
        </c:dLbls>
        <c:gapWidth val="150"/>
        <c:overlap val="-25"/>
        <c:axId val="423752480"/>
        <c:axId val="423753656"/>
      </c:barChart>
      <c:catAx>
        <c:axId val="423752480"/>
        <c:scaling>
          <c:orientation val="minMax"/>
        </c:scaling>
        <c:delete val="0"/>
        <c:axPos val="b"/>
        <c:numFmt formatCode="General" sourceLinked="0"/>
        <c:majorTickMark val="none"/>
        <c:minorTickMark val="none"/>
        <c:tickLblPos val="nextTo"/>
        <c:txPr>
          <a:bodyPr/>
          <a:lstStyle/>
          <a:p>
            <a:pPr>
              <a:defRPr b="1">
                <a:latin typeface="Times New Roman" pitchFamily="18" charset="0"/>
                <a:cs typeface="Times New Roman" pitchFamily="18" charset="0"/>
              </a:defRPr>
            </a:pPr>
            <a:endParaRPr lang="ru-RU"/>
          </a:p>
        </c:txPr>
        <c:crossAx val="423753656"/>
        <c:crosses val="autoZero"/>
        <c:auto val="1"/>
        <c:lblAlgn val="ctr"/>
        <c:lblOffset val="100"/>
        <c:noMultiLvlLbl val="0"/>
      </c:catAx>
      <c:valAx>
        <c:axId val="423753656"/>
        <c:scaling>
          <c:orientation val="minMax"/>
        </c:scaling>
        <c:delete val="1"/>
        <c:axPos val="l"/>
        <c:numFmt formatCode="General" sourceLinked="1"/>
        <c:majorTickMark val="out"/>
        <c:minorTickMark val="none"/>
        <c:tickLblPos val="none"/>
        <c:crossAx val="423752480"/>
        <c:crosses val="autoZero"/>
        <c:crossBetween val="between"/>
      </c:valAx>
    </c:plotArea>
    <c:legend>
      <c:legendPos val="t"/>
      <c:layout>
        <c:manualLayout>
          <c:xMode val="edge"/>
          <c:yMode val="edge"/>
          <c:x val="0.10913180714928722"/>
          <c:y val="0.24278074866310159"/>
          <c:w val="0.78173638570141413"/>
          <c:h val="9.0717503894900853E-2"/>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50">
                <a:latin typeface="Times New Roman" pitchFamily="18" charset="0"/>
                <a:cs typeface="Times New Roman" pitchFamily="18" charset="0"/>
              </a:defRPr>
            </a:pPr>
            <a:r>
              <a:rPr lang="uk-UA" sz="1050">
                <a:latin typeface="Times New Roman" pitchFamily="18" charset="0"/>
                <a:cs typeface="Times New Roman" pitchFamily="18" charset="0"/>
              </a:rPr>
              <a:t>Кількість</a:t>
            </a:r>
            <a:r>
              <a:rPr lang="uk-UA" sz="1050" baseline="0">
                <a:latin typeface="Times New Roman" pitchFamily="18" charset="0"/>
                <a:cs typeface="Times New Roman" pitchFamily="18" charset="0"/>
              </a:rPr>
              <a:t> прийомних сімей, які перебувають під соціальним супроводом Центру та кількість дітей, які виховуються в них</a:t>
            </a:r>
            <a:endParaRPr lang="uk-UA" sz="1050">
              <a:latin typeface="Times New Roman" pitchFamily="18" charset="0"/>
              <a:cs typeface="Times New Roman" pitchFamily="18" charset="0"/>
            </a:endParaRP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8.7336244541484746E-3"/>
          <c:y val="0.26175531914893613"/>
          <c:w val="0.6288209606987003"/>
          <c:h val="0.56866141732284203"/>
        </c:manualLayout>
      </c:layout>
      <c:bar3DChart>
        <c:barDir val="col"/>
        <c:grouping val="clustered"/>
        <c:varyColors val="0"/>
        <c:ser>
          <c:idx val="0"/>
          <c:order val="0"/>
          <c:tx>
            <c:strRef>
              <c:f>Лист1!$A$33</c:f>
              <c:strCache>
                <c:ptCount val="1"/>
                <c:pt idx="0">
                  <c:v>Кількість прийомних сімей, які перебувають під соціальним супроводом Центру, од.</c:v>
                </c:pt>
              </c:strCache>
            </c:strRef>
          </c:tx>
          <c:invertIfNegative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Лист1!$B$32:$E$32</c:f>
              <c:strCache>
                <c:ptCount val="4"/>
                <c:pt idx="0">
                  <c:v>2014 рік</c:v>
                </c:pt>
                <c:pt idx="1">
                  <c:v>2015 рік</c:v>
                </c:pt>
                <c:pt idx="2">
                  <c:v>2016 рік</c:v>
                </c:pt>
                <c:pt idx="3">
                  <c:v>9 міс. 2017 року</c:v>
                </c:pt>
              </c:strCache>
            </c:strRef>
          </c:cat>
          <c:val>
            <c:numRef>
              <c:f>Лист1!$B$33:$E$33</c:f>
              <c:numCache>
                <c:formatCode>General</c:formatCode>
                <c:ptCount val="4"/>
                <c:pt idx="0">
                  <c:v>18</c:v>
                </c:pt>
                <c:pt idx="1">
                  <c:v>14</c:v>
                </c:pt>
                <c:pt idx="2">
                  <c:v>15</c:v>
                </c:pt>
                <c:pt idx="3">
                  <c:v>14</c:v>
                </c:pt>
              </c:numCache>
            </c:numRef>
          </c:val>
        </c:ser>
        <c:ser>
          <c:idx val="1"/>
          <c:order val="1"/>
          <c:tx>
            <c:strRef>
              <c:f>Лист1!$A$34</c:f>
              <c:strCache>
                <c:ptCount val="1"/>
                <c:pt idx="0">
                  <c:v>Кількість дітей, які виховуються в прийомних сім'ях, осіб</c:v>
                </c:pt>
              </c:strCache>
            </c:strRef>
          </c:tx>
          <c:spPr>
            <a:solidFill>
              <a:schemeClr val="accent3">
                <a:lumMod val="75000"/>
              </a:schemeClr>
            </a:solidFill>
          </c:spPr>
          <c:invertIfNegative val="0"/>
          <c:dLbls>
            <c:dLbl>
              <c:idx val="3"/>
              <c:layout>
                <c:manualLayout>
                  <c:x val="1.3888888888889082E-2"/>
                  <c:y val="-9.2592592592594461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Лист1!$B$32:$E$32</c:f>
              <c:strCache>
                <c:ptCount val="4"/>
                <c:pt idx="0">
                  <c:v>2014 рік</c:v>
                </c:pt>
                <c:pt idx="1">
                  <c:v>2015 рік</c:v>
                </c:pt>
                <c:pt idx="2">
                  <c:v>2016 рік</c:v>
                </c:pt>
                <c:pt idx="3">
                  <c:v>9 міс. 2017 року</c:v>
                </c:pt>
              </c:strCache>
            </c:strRef>
          </c:cat>
          <c:val>
            <c:numRef>
              <c:f>Лист1!$B$34:$E$34</c:f>
              <c:numCache>
                <c:formatCode>General</c:formatCode>
                <c:ptCount val="4"/>
                <c:pt idx="0">
                  <c:v>29</c:v>
                </c:pt>
                <c:pt idx="1">
                  <c:v>24</c:v>
                </c:pt>
                <c:pt idx="2">
                  <c:v>25</c:v>
                </c:pt>
                <c:pt idx="3">
                  <c:v>19</c:v>
                </c:pt>
              </c:numCache>
            </c:numRef>
          </c:val>
        </c:ser>
        <c:dLbls>
          <c:showLegendKey val="0"/>
          <c:showVal val="0"/>
          <c:showCatName val="0"/>
          <c:showSerName val="0"/>
          <c:showPercent val="0"/>
          <c:showBubbleSize val="0"/>
        </c:dLbls>
        <c:gapWidth val="55"/>
        <c:gapDepth val="55"/>
        <c:shape val="cylinder"/>
        <c:axId val="502490456"/>
        <c:axId val="502497512"/>
        <c:axId val="0"/>
      </c:bar3DChart>
      <c:catAx>
        <c:axId val="502490456"/>
        <c:scaling>
          <c:orientation val="minMax"/>
        </c:scaling>
        <c:delete val="0"/>
        <c:axPos val="b"/>
        <c:numFmt formatCode="General" sourceLinked="0"/>
        <c:majorTickMark val="none"/>
        <c:minorTickMark val="none"/>
        <c:tickLblPos val="nextTo"/>
        <c:txPr>
          <a:bodyPr/>
          <a:lstStyle/>
          <a:p>
            <a:pPr>
              <a:defRPr sz="900" b="1">
                <a:latin typeface="Times New Roman" pitchFamily="18" charset="0"/>
                <a:cs typeface="Times New Roman" pitchFamily="18" charset="0"/>
              </a:defRPr>
            </a:pPr>
            <a:endParaRPr lang="ru-RU"/>
          </a:p>
        </c:txPr>
        <c:crossAx val="502497512"/>
        <c:crosses val="autoZero"/>
        <c:auto val="1"/>
        <c:lblAlgn val="ctr"/>
        <c:lblOffset val="100"/>
        <c:noMultiLvlLbl val="0"/>
      </c:catAx>
      <c:valAx>
        <c:axId val="502497512"/>
        <c:scaling>
          <c:orientation val="minMax"/>
        </c:scaling>
        <c:delete val="1"/>
        <c:axPos val="l"/>
        <c:numFmt formatCode="General" sourceLinked="1"/>
        <c:majorTickMark val="none"/>
        <c:minorTickMark val="none"/>
        <c:tickLblPos val="none"/>
        <c:crossAx val="502490456"/>
        <c:crosses val="autoZero"/>
        <c:crossBetween val="between"/>
      </c:valAx>
    </c:plotArea>
    <c:legend>
      <c:legendPos val="r"/>
      <c:layout>
        <c:manualLayout>
          <c:xMode val="edge"/>
          <c:yMode val="edge"/>
          <c:x val="0.66035713876376811"/>
          <c:y val="0.24223152956944224"/>
          <c:w val="0.32297607995507976"/>
          <c:h val="0.73990618194002256"/>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0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50"/>
            </a:pPr>
            <a:r>
              <a:rPr lang="uk-UA" sz="1050">
                <a:latin typeface="Times New Roman" pitchFamily="18" charset="0"/>
                <a:cs typeface="Times New Roman" pitchFamily="18" charset="0"/>
              </a:rPr>
              <a:t>Кількість</a:t>
            </a:r>
            <a:r>
              <a:rPr lang="uk-UA" sz="1050" baseline="0">
                <a:latin typeface="Times New Roman" pitchFamily="18" charset="0"/>
                <a:cs typeface="Times New Roman" pitchFamily="18" charset="0"/>
              </a:rPr>
              <a:t> будинків сімейного типу, що перебувають під соціальним супроводом Центру та кількість дітей, які виховуються в них</a:t>
            </a:r>
            <a:endParaRPr lang="uk-UA" sz="1050">
              <a:latin typeface="Times New Roman" pitchFamily="18" charset="0"/>
              <a:cs typeface="Times New Roman" pitchFamily="18" charset="0"/>
            </a:endParaRPr>
          </a:p>
        </c:rich>
      </c:tx>
      <c:layout>
        <c:manualLayout>
          <c:xMode val="edge"/>
          <c:yMode val="edge"/>
          <c:x val="0.10324999999999998"/>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1.3584688775216981E-3"/>
          <c:y val="0.23676604408618024"/>
          <c:w val="0.68165687683200182"/>
          <c:h val="0.60260071053123665"/>
        </c:manualLayout>
      </c:layout>
      <c:bar3DChart>
        <c:barDir val="col"/>
        <c:grouping val="clustered"/>
        <c:varyColors val="0"/>
        <c:ser>
          <c:idx val="0"/>
          <c:order val="0"/>
          <c:tx>
            <c:strRef>
              <c:f>Лист1!$A$40</c:f>
              <c:strCache>
                <c:ptCount val="1"/>
                <c:pt idx="0">
                  <c:v>Кількість будинків сімейного типу, що перебувають під соціальним супроводом Центру, од.</c:v>
                </c:pt>
              </c:strCache>
            </c:strRef>
          </c:tx>
          <c:invertIfNegative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Лист1!$B$39:$E$39</c:f>
              <c:strCache>
                <c:ptCount val="4"/>
                <c:pt idx="0">
                  <c:v>2014 рік</c:v>
                </c:pt>
                <c:pt idx="1">
                  <c:v>2015 рік</c:v>
                </c:pt>
                <c:pt idx="2">
                  <c:v>2016 рік</c:v>
                </c:pt>
                <c:pt idx="3">
                  <c:v>9 міс. 2017 року</c:v>
                </c:pt>
              </c:strCache>
            </c:strRef>
          </c:cat>
          <c:val>
            <c:numRef>
              <c:f>Лист1!$B$40:$E$40</c:f>
              <c:numCache>
                <c:formatCode>General</c:formatCode>
                <c:ptCount val="4"/>
                <c:pt idx="0">
                  <c:v>5</c:v>
                </c:pt>
                <c:pt idx="1">
                  <c:v>6</c:v>
                </c:pt>
                <c:pt idx="2">
                  <c:v>5</c:v>
                </c:pt>
                <c:pt idx="3">
                  <c:v>5</c:v>
                </c:pt>
              </c:numCache>
            </c:numRef>
          </c:val>
        </c:ser>
        <c:ser>
          <c:idx val="1"/>
          <c:order val="1"/>
          <c:tx>
            <c:strRef>
              <c:f>Лист1!$A$41</c:f>
              <c:strCache>
                <c:ptCount val="1"/>
                <c:pt idx="0">
                  <c:v>Кількість дітей, які виховуються в будинках сімейного типу, осіб</c:v>
                </c:pt>
              </c:strCache>
            </c:strRef>
          </c:tx>
          <c:spPr>
            <a:solidFill>
              <a:schemeClr val="accent3">
                <a:lumMod val="75000"/>
              </a:schemeClr>
            </a:solidFill>
          </c:spPr>
          <c:invertIfNegative val="0"/>
          <c:dLbls>
            <c:dLbl>
              <c:idx val="0"/>
              <c:showLegendKey val="0"/>
              <c:showVal val="1"/>
              <c:showCatName val="0"/>
              <c:showSerName val="0"/>
              <c:showPercent val="0"/>
              <c:showBubbleSize val="0"/>
              <c:extLst>
                <c:ext xmlns:c15="http://schemas.microsoft.com/office/drawing/2012/chart" uri="{CE6537A1-D6FC-4f65-9D91-7224C49458BB}"/>
              </c:extLst>
            </c:dLbl>
            <c:dLbl>
              <c:idx val="1"/>
              <c:showLegendKey val="0"/>
              <c:showVal val="1"/>
              <c:showCatName val="0"/>
              <c:showSerName val="0"/>
              <c:showPercent val="0"/>
              <c:showBubbleSize val="0"/>
              <c:extLst>
                <c:ext xmlns:c15="http://schemas.microsoft.com/office/drawing/2012/chart" uri="{CE6537A1-D6FC-4f65-9D91-7224C49458BB}"/>
              </c:extLst>
            </c:dLbl>
            <c:dLbl>
              <c:idx val="2"/>
              <c:showLegendKey val="0"/>
              <c:showVal val="1"/>
              <c:showCatName val="0"/>
              <c:showSerName val="0"/>
              <c:showPercent val="0"/>
              <c:showBubbleSize val="0"/>
              <c:extLst>
                <c:ext xmlns:c15="http://schemas.microsoft.com/office/drawing/2012/chart" uri="{CE6537A1-D6FC-4f65-9D91-7224C49458BB}"/>
              </c:extLst>
            </c:dLbl>
            <c:dLbl>
              <c:idx val="3"/>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Лист1!$B$39:$E$39</c:f>
              <c:strCache>
                <c:ptCount val="4"/>
                <c:pt idx="0">
                  <c:v>2014 рік</c:v>
                </c:pt>
                <c:pt idx="1">
                  <c:v>2015 рік</c:v>
                </c:pt>
                <c:pt idx="2">
                  <c:v>2016 рік</c:v>
                </c:pt>
                <c:pt idx="3">
                  <c:v>9 міс. 2017 року</c:v>
                </c:pt>
              </c:strCache>
            </c:strRef>
          </c:cat>
          <c:val>
            <c:numRef>
              <c:f>Лист1!$B$41:$E$41</c:f>
              <c:numCache>
                <c:formatCode>General</c:formatCode>
                <c:ptCount val="4"/>
                <c:pt idx="0">
                  <c:v>40</c:v>
                </c:pt>
                <c:pt idx="1">
                  <c:v>38</c:v>
                </c:pt>
                <c:pt idx="2">
                  <c:v>39</c:v>
                </c:pt>
                <c:pt idx="3">
                  <c:v>39</c:v>
                </c:pt>
              </c:numCache>
            </c:numRef>
          </c:val>
        </c:ser>
        <c:dLbls>
          <c:showLegendKey val="0"/>
          <c:showVal val="0"/>
          <c:showCatName val="0"/>
          <c:showSerName val="0"/>
          <c:showPercent val="0"/>
          <c:showBubbleSize val="0"/>
        </c:dLbls>
        <c:gapWidth val="150"/>
        <c:shape val="box"/>
        <c:axId val="502492024"/>
        <c:axId val="502495944"/>
        <c:axId val="0"/>
      </c:bar3DChart>
      <c:catAx>
        <c:axId val="502492024"/>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495944"/>
        <c:crosses val="autoZero"/>
        <c:auto val="1"/>
        <c:lblAlgn val="ctr"/>
        <c:lblOffset val="100"/>
        <c:noMultiLvlLbl val="0"/>
      </c:catAx>
      <c:valAx>
        <c:axId val="502495944"/>
        <c:scaling>
          <c:orientation val="minMax"/>
        </c:scaling>
        <c:delete val="1"/>
        <c:axPos val="l"/>
        <c:numFmt formatCode="General" sourceLinked="1"/>
        <c:majorTickMark val="out"/>
        <c:minorTickMark val="none"/>
        <c:tickLblPos val="none"/>
        <c:crossAx val="502492024"/>
        <c:crosses val="autoZero"/>
        <c:crossBetween val="between"/>
      </c:valAx>
    </c:plotArea>
    <c:legend>
      <c:legendPos val="r"/>
      <c:legendEntry>
        <c:idx val="1"/>
        <c:txPr>
          <a:bodyPr/>
          <a:lstStyle/>
          <a:p>
            <a:pPr>
              <a:defRPr>
                <a:latin typeface="Times New Roman" pitchFamily="18" charset="0"/>
                <a:cs typeface="Times New Roman" pitchFamily="18" charset="0"/>
              </a:defRPr>
            </a:pPr>
            <a:endParaRPr lang="ru-RU"/>
          </a:p>
        </c:txPr>
      </c:legendEntry>
      <c:layout>
        <c:manualLayout>
          <c:xMode val="edge"/>
          <c:yMode val="edge"/>
          <c:x val="0.68490763837002699"/>
          <c:y val="0.21371657698460519"/>
          <c:w val="0.31010448876372232"/>
          <c:h val="0.76054432509920433"/>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0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uk-UA" sz="1200">
                <a:latin typeface="Times New Roman" pitchFamily="18" charset="0"/>
                <a:cs typeface="Times New Roman" pitchFamily="18" charset="0"/>
              </a:rPr>
              <a:t>Кількість</a:t>
            </a:r>
            <a:r>
              <a:rPr lang="uk-UA" sz="1200" baseline="0">
                <a:latin typeface="Times New Roman" pitchFamily="18" charset="0"/>
                <a:cs typeface="Times New Roman" pitchFamily="18" charset="0"/>
              </a:rPr>
              <a:t> підліткових клубів та кількість дітей, які займаються в них</a:t>
            </a:r>
            <a:endParaRPr lang="uk-UA" sz="1200">
              <a:latin typeface="Times New Roman" pitchFamily="18" charset="0"/>
              <a:cs typeface="Times New Roman" pitchFamily="18" charset="0"/>
            </a:endParaRP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1.3239481428457827E-2"/>
          <c:y val="0.22037037037037038"/>
          <c:w val="0.65496199338719896"/>
          <c:h val="0.60823316728265453"/>
        </c:manualLayout>
      </c:layout>
      <c:bar3DChart>
        <c:barDir val="col"/>
        <c:grouping val="clustered"/>
        <c:varyColors val="0"/>
        <c:ser>
          <c:idx val="0"/>
          <c:order val="0"/>
          <c:tx>
            <c:strRef>
              <c:f>Лист1!$A$50</c:f>
              <c:strCache>
                <c:ptCount val="1"/>
                <c:pt idx="0">
                  <c:v>Кількість підліткових клубів, од.</c:v>
                </c:pt>
              </c:strCache>
            </c:strRef>
          </c:tx>
          <c:invertIfNegative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Лист1!$B$49:$E$49</c:f>
              <c:strCache>
                <c:ptCount val="4"/>
                <c:pt idx="0">
                  <c:v>2014 рік</c:v>
                </c:pt>
                <c:pt idx="1">
                  <c:v>2015 рік</c:v>
                </c:pt>
                <c:pt idx="2">
                  <c:v>2016 рік</c:v>
                </c:pt>
                <c:pt idx="3">
                  <c:v>9 міс. 2017 року</c:v>
                </c:pt>
              </c:strCache>
            </c:strRef>
          </c:cat>
          <c:val>
            <c:numRef>
              <c:f>Лист1!$B$50:$E$50</c:f>
              <c:numCache>
                <c:formatCode>General</c:formatCode>
                <c:ptCount val="4"/>
                <c:pt idx="0">
                  <c:v>22</c:v>
                </c:pt>
                <c:pt idx="1">
                  <c:v>22</c:v>
                </c:pt>
                <c:pt idx="2">
                  <c:v>22</c:v>
                </c:pt>
                <c:pt idx="3">
                  <c:v>22</c:v>
                </c:pt>
              </c:numCache>
            </c:numRef>
          </c:val>
        </c:ser>
        <c:ser>
          <c:idx val="1"/>
          <c:order val="1"/>
          <c:tx>
            <c:strRef>
              <c:f>Лист1!$A$51</c:f>
              <c:strCache>
                <c:ptCount val="1"/>
                <c:pt idx="0">
                  <c:v>Кількість дітей, які займаються в підліткових клубах, осіб</c:v>
                </c:pt>
              </c:strCache>
            </c:strRef>
          </c:tx>
          <c:spPr>
            <a:solidFill>
              <a:schemeClr val="accent3">
                <a:lumMod val="75000"/>
              </a:schemeClr>
            </a:solidFill>
          </c:spPr>
          <c:invertIfNegative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Лист1!$B$49:$E$49</c:f>
              <c:strCache>
                <c:ptCount val="4"/>
                <c:pt idx="0">
                  <c:v>2014 рік</c:v>
                </c:pt>
                <c:pt idx="1">
                  <c:v>2015 рік</c:v>
                </c:pt>
                <c:pt idx="2">
                  <c:v>2016 рік</c:v>
                </c:pt>
                <c:pt idx="3">
                  <c:v>9 міс. 2017 року</c:v>
                </c:pt>
              </c:strCache>
            </c:strRef>
          </c:cat>
          <c:val>
            <c:numRef>
              <c:f>Лист1!$B$51:$E$51</c:f>
              <c:numCache>
                <c:formatCode>General</c:formatCode>
                <c:ptCount val="4"/>
                <c:pt idx="0">
                  <c:v>1755</c:v>
                </c:pt>
                <c:pt idx="1">
                  <c:v>2017</c:v>
                </c:pt>
                <c:pt idx="2">
                  <c:v>2017</c:v>
                </c:pt>
                <c:pt idx="3">
                  <c:v>2017</c:v>
                </c:pt>
              </c:numCache>
            </c:numRef>
          </c:val>
        </c:ser>
        <c:dLbls>
          <c:showLegendKey val="0"/>
          <c:showVal val="0"/>
          <c:showCatName val="0"/>
          <c:showSerName val="0"/>
          <c:showPercent val="0"/>
          <c:showBubbleSize val="0"/>
        </c:dLbls>
        <c:gapWidth val="150"/>
        <c:shape val="cylinder"/>
        <c:axId val="502486536"/>
        <c:axId val="502493592"/>
        <c:axId val="0"/>
      </c:bar3DChart>
      <c:catAx>
        <c:axId val="502486536"/>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493592"/>
        <c:crosses val="autoZero"/>
        <c:auto val="1"/>
        <c:lblAlgn val="ctr"/>
        <c:lblOffset val="100"/>
        <c:noMultiLvlLbl val="0"/>
      </c:catAx>
      <c:valAx>
        <c:axId val="502493592"/>
        <c:scaling>
          <c:orientation val="minMax"/>
        </c:scaling>
        <c:delete val="1"/>
        <c:axPos val="l"/>
        <c:numFmt formatCode="General" sourceLinked="1"/>
        <c:majorTickMark val="out"/>
        <c:minorTickMark val="none"/>
        <c:tickLblPos val="none"/>
        <c:crossAx val="502486536"/>
        <c:crosses val="autoZero"/>
        <c:crossBetween val="between"/>
      </c:valAx>
    </c:plotArea>
    <c:legend>
      <c:legendPos val="r"/>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0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50"/>
            </a:pPr>
            <a:r>
              <a:rPr lang="uk-UA" sz="1050">
                <a:latin typeface="Times New Roman" pitchFamily="18" charset="0"/>
                <a:cs typeface="Times New Roman" pitchFamily="18" charset="0"/>
              </a:rPr>
              <a:t>Співпраця</a:t>
            </a:r>
            <a:r>
              <a:rPr lang="uk-UA" sz="1050" baseline="0">
                <a:latin typeface="Times New Roman" pitchFamily="18" charset="0"/>
                <a:cs typeface="Times New Roman" pitchFamily="18" charset="0"/>
              </a:rPr>
              <a:t> з </a:t>
            </a:r>
            <a:r>
              <a:rPr lang="uk-UA" sz="1050">
                <a:latin typeface="Times New Roman" pitchFamily="18" charset="0"/>
                <a:cs typeface="Times New Roman" pitchFamily="18" charset="0"/>
              </a:rPr>
              <a:t>громадськими організаціями у напрямі підвищення громадської активності молоді, од.</a:t>
            </a:r>
          </a:p>
        </c:rich>
      </c:tx>
      <c:layout>
        <c:manualLayout>
          <c:xMode val="edge"/>
          <c:yMode val="edge"/>
          <c:x val="0.10624744679192329"/>
          <c:y val="0"/>
        </c:manualLayout>
      </c:layout>
      <c:overlay val="0"/>
    </c:title>
    <c:autoTitleDeleted val="0"/>
    <c:plotArea>
      <c:layout>
        <c:manualLayout>
          <c:layoutTarget val="inner"/>
          <c:xMode val="edge"/>
          <c:yMode val="edge"/>
          <c:x val="1.9820690730490385E-2"/>
          <c:y val="0.29185185185185614"/>
          <c:w val="0.74995057301005763"/>
          <c:h val="0.51716049382715956"/>
        </c:manualLayout>
      </c:layout>
      <c:barChart>
        <c:barDir val="col"/>
        <c:grouping val="clustered"/>
        <c:varyColors val="0"/>
        <c:ser>
          <c:idx val="0"/>
          <c:order val="0"/>
          <c:tx>
            <c:strRef>
              <c:f>Лист1!$A$100</c:f>
              <c:strCache>
                <c:ptCount val="1"/>
                <c:pt idx="0">
                  <c:v>Кількість громадських організацій</c:v>
                </c:pt>
              </c:strCache>
            </c:strRef>
          </c:tx>
          <c:spPr>
            <a:solidFill>
              <a:schemeClr val="accent3">
                <a:lumMod val="75000"/>
              </a:schemeClr>
            </a:solidFill>
          </c:spPr>
          <c:invertIfNegative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Лист1!$B$99:$E$99</c:f>
              <c:strCache>
                <c:ptCount val="4"/>
                <c:pt idx="0">
                  <c:v>2014 рік</c:v>
                </c:pt>
                <c:pt idx="1">
                  <c:v>2015 рік</c:v>
                </c:pt>
                <c:pt idx="2">
                  <c:v>2016 рік</c:v>
                </c:pt>
                <c:pt idx="3">
                  <c:v>9 міс. 2017 року</c:v>
                </c:pt>
              </c:strCache>
            </c:strRef>
          </c:cat>
          <c:val>
            <c:numRef>
              <c:f>Лист1!$B$100:$E$100</c:f>
              <c:numCache>
                <c:formatCode>General</c:formatCode>
                <c:ptCount val="4"/>
                <c:pt idx="0">
                  <c:v>12</c:v>
                </c:pt>
                <c:pt idx="1">
                  <c:v>13</c:v>
                </c:pt>
                <c:pt idx="2">
                  <c:v>20</c:v>
                </c:pt>
                <c:pt idx="3">
                  <c:v>22</c:v>
                </c:pt>
              </c:numCache>
            </c:numRef>
          </c:val>
        </c:ser>
        <c:dLbls>
          <c:showLegendKey val="0"/>
          <c:showVal val="0"/>
          <c:showCatName val="0"/>
          <c:showSerName val="0"/>
          <c:showPercent val="0"/>
          <c:showBubbleSize val="0"/>
        </c:dLbls>
        <c:gapWidth val="150"/>
        <c:axId val="502489672"/>
        <c:axId val="502490848"/>
      </c:barChart>
      <c:catAx>
        <c:axId val="502489672"/>
        <c:scaling>
          <c:orientation val="minMax"/>
        </c:scaling>
        <c:delete val="0"/>
        <c:axPos val="b"/>
        <c:numFmt formatCode="General" sourceLinked="0"/>
        <c:majorTickMark val="out"/>
        <c:minorTickMark val="none"/>
        <c:tickLblPos val="nextTo"/>
        <c:txPr>
          <a:bodyPr/>
          <a:lstStyle/>
          <a:p>
            <a:pPr>
              <a:defRPr sz="900" b="1">
                <a:latin typeface="Times New Roman" pitchFamily="18" charset="0"/>
                <a:cs typeface="Times New Roman" pitchFamily="18" charset="0"/>
              </a:defRPr>
            </a:pPr>
            <a:endParaRPr lang="ru-RU"/>
          </a:p>
        </c:txPr>
        <c:crossAx val="502490848"/>
        <c:crosses val="autoZero"/>
        <c:auto val="1"/>
        <c:lblAlgn val="ctr"/>
        <c:lblOffset val="100"/>
        <c:noMultiLvlLbl val="0"/>
      </c:catAx>
      <c:valAx>
        <c:axId val="502490848"/>
        <c:scaling>
          <c:orientation val="minMax"/>
        </c:scaling>
        <c:delete val="1"/>
        <c:axPos val="l"/>
        <c:numFmt formatCode="General" sourceLinked="1"/>
        <c:majorTickMark val="out"/>
        <c:minorTickMark val="none"/>
        <c:tickLblPos val="none"/>
        <c:crossAx val="502489672"/>
        <c:crosses val="autoZero"/>
        <c:crossBetween val="between"/>
      </c:valAx>
    </c:plotArea>
    <c:plotVisOnly val="1"/>
    <c:dispBlanksAs val="gap"/>
    <c:showDLblsOverMax val="0"/>
  </c:chart>
  <c:spPr>
    <a:ln>
      <a:noFill/>
    </a:ln>
  </c:spPr>
  <c:externalData r:id="rId2">
    <c:autoUpdate val="0"/>
  </c:externalData>
</c:chartSpace>
</file>

<file path=word/charts/chart10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50">
                <a:latin typeface="Times New Roman" pitchFamily="18" charset="0"/>
                <a:cs typeface="Times New Roman" pitchFamily="18" charset="0"/>
              </a:defRPr>
            </a:pPr>
            <a:r>
              <a:rPr lang="uk-UA" sz="1050">
                <a:latin typeface="Times New Roman" pitchFamily="18" charset="0"/>
                <a:cs typeface="Times New Roman" pitchFamily="18" charset="0"/>
              </a:rPr>
              <a:t>Кількість  проведених заходів, спрямованих на забезпечення творчих ініціатив молоді, од.</a:t>
            </a:r>
          </a:p>
        </c:rich>
      </c:tx>
      <c:layout>
        <c:manualLayout>
          <c:xMode val="edge"/>
          <c:yMode val="edge"/>
          <c:x val="0.13237266670337383"/>
          <c:y val="4.6298237488115864E-3"/>
        </c:manualLayout>
      </c:layout>
      <c:overlay val="0"/>
    </c:title>
    <c:autoTitleDeleted val="0"/>
    <c:plotArea>
      <c:layout>
        <c:manualLayout>
          <c:layoutTarget val="inner"/>
          <c:xMode val="edge"/>
          <c:yMode val="edge"/>
          <c:x val="4.2002092395793823E-3"/>
          <c:y val="0.24738170347003174"/>
          <c:w val="0.73795826221023064"/>
          <c:h val="0.57888571499540475"/>
        </c:manualLayout>
      </c:layout>
      <c:barChart>
        <c:barDir val="col"/>
        <c:grouping val="clustered"/>
        <c:varyColors val="0"/>
        <c:ser>
          <c:idx val="0"/>
          <c:order val="0"/>
          <c:tx>
            <c:strRef>
              <c:f>Лист1!$A$64</c:f>
              <c:strCache>
                <c:ptCount val="1"/>
                <c:pt idx="0">
                  <c:v>Кількість  проведених заходів</c:v>
                </c:pt>
              </c:strCache>
            </c:strRef>
          </c:tx>
          <c:invertIfNegative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Лист1!$B$63:$E$63</c:f>
              <c:strCache>
                <c:ptCount val="4"/>
                <c:pt idx="0">
                  <c:v>2014 рік</c:v>
                </c:pt>
                <c:pt idx="1">
                  <c:v>2015 рік</c:v>
                </c:pt>
                <c:pt idx="2">
                  <c:v>2016 рік</c:v>
                </c:pt>
                <c:pt idx="3">
                  <c:v>9 міс. 2017 року</c:v>
                </c:pt>
              </c:strCache>
            </c:strRef>
          </c:cat>
          <c:val>
            <c:numRef>
              <c:f>Лист1!$B$64:$E$64</c:f>
              <c:numCache>
                <c:formatCode>General</c:formatCode>
                <c:ptCount val="4"/>
                <c:pt idx="0">
                  <c:v>43</c:v>
                </c:pt>
                <c:pt idx="1">
                  <c:v>101</c:v>
                </c:pt>
                <c:pt idx="2">
                  <c:v>105</c:v>
                </c:pt>
                <c:pt idx="3">
                  <c:v>100</c:v>
                </c:pt>
              </c:numCache>
            </c:numRef>
          </c:val>
        </c:ser>
        <c:dLbls>
          <c:showLegendKey val="0"/>
          <c:showVal val="0"/>
          <c:showCatName val="0"/>
          <c:showSerName val="0"/>
          <c:showPercent val="0"/>
          <c:showBubbleSize val="0"/>
        </c:dLbls>
        <c:gapWidth val="150"/>
        <c:axId val="502491240"/>
        <c:axId val="502497120"/>
      </c:barChart>
      <c:catAx>
        <c:axId val="502491240"/>
        <c:scaling>
          <c:orientation val="minMax"/>
        </c:scaling>
        <c:delete val="0"/>
        <c:axPos val="b"/>
        <c:numFmt formatCode="General" sourceLinked="0"/>
        <c:majorTickMark val="out"/>
        <c:minorTickMark val="none"/>
        <c:tickLblPos val="nextTo"/>
        <c:txPr>
          <a:bodyPr/>
          <a:lstStyle/>
          <a:p>
            <a:pPr>
              <a:defRPr sz="900" b="1">
                <a:latin typeface="Times New Roman" pitchFamily="18" charset="0"/>
                <a:cs typeface="Times New Roman" pitchFamily="18" charset="0"/>
              </a:defRPr>
            </a:pPr>
            <a:endParaRPr lang="ru-RU"/>
          </a:p>
        </c:txPr>
        <c:crossAx val="502497120"/>
        <c:crosses val="autoZero"/>
        <c:auto val="1"/>
        <c:lblAlgn val="ctr"/>
        <c:lblOffset val="100"/>
        <c:noMultiLvlLbl val="0"/>
      </c:catAx>
      <c:valAx>
        <c:axId val="502497120"/>
        <c:scaling>
          <c:orientation val="minMax"/>
        </c:scaling>
        <c:delete val="1"/>
        <c:axPos val="l"/>
        <c:numFmt formatCode="General" sourceLinked="1"/>
        <c:majorTickMark val="out"/>
        <c:minorTickMark val="none"/>
        <c:tickLblPos val="none"/>
        <c:crossAx val="502491240"/>
        <c:crosses val="autoZero"/>
        <c:crossBetween val="between"/>
      </c:valAx>
      <c:spPr>
        <a:noFill/>
        <a:ln w="25400">
          <a:noFill/>
        </a:ln>
      </c:spPr>
    </c:plotArea>
    <c:plotVisOnly val="1"/>
    <c:dispBlanksAs val="gap"/>
    <c:showDLblsOverMax val="0"/>
  </c:chart>
  <c:spPr>
    <a:ln>
      <a:noFill/>
    </a:ln>
  </c:spPr>
  <c:externalData r:id="rId2">
    <c:autoUpdate val="0"/>
  </c:externalData>
</c:chartSpace>
</file>

<file path=word/charts/chart10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uk-UA" sz="1200">
                <a:latin typeface="Times New Roman" pitchFamily="18" charset="0"/>
                <a:cs typeface="Times New Roman" pitchFamily="18" charset="0"/>
              </a:rPr>
              <a:t>Кількість реалізованих проектів, що спрямовані на соціальний розвиток молоді, од.</a:t>
            </a:r>
          </a:p>
        </c:rich>
      </c:tx>
      <c:layout>
        <c:manualLayout>
          <c:xMode val="edge"/>
          <c:yMode val="edge"/>
          <c:x val="0.11512579788473212"/>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23774402460047594"/>
          <c:y val="0.19396984924623287"/>
          <c:w val="0.48729301588780732"/>
          <c:h val="0.78090452261306564"/>
        </c:manualLayout>
      </c:layout>
      <c:bar3DChart>
        <c:barDir val="bar"/>
        <c:grouping val="clustered"/>
        <c:varyColors val="0"/>
        <c:ser>
          <c:idx val="0"/>
          <c:order val="0"/>
          <c:tx>
            <c:strRef>
              <c:f>Лист1!$A$126</c:f>
              <c:strCache>
                <c:ptCount val="1"/>
                <c:pt idx="0">
                  <c:v>Кількість реалізованих проектів</c:v>
                </c:pt>
              </c:strCache>
            </c:strRef>
          </c:tx>
          <c:invertIfNegative val="0"/>
          <c:dLbls>
            <c:dLbl>
              <c:idx val="1"/>
              <c:layout>
                <c:manualLayout>
                  <c:x val="1.3888888888889082E-2"/>
                  <c:y val="-4.6296296296296936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5555555555555558E-3"/>
                  <c:y val="-4.6296296296296936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3888888888889082E-2"/>
                  <c:y val="-4.6296296296297014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Лист1!$B$125:$E$125</c:f>
              <c:strCache>
                <c:ptCount val="4"/>
                <c:pt idx="0">
                  <c:v>2014 рік</c:v>
                </c:pt>
                <c:pt idx="1">
                  <c:v>2015 рік</c:v>
                </c:pt>
                <c:pt idx="2">
                  <c:v>2016 рік</c:v>
                </c:pt>
                <c:pt idx="3">
                  <c:v>9 міс. 2017 року</c:v>
                </c:pt>
              </c:strCache>
            </c:strRef>
          </c:cat>
          <c:val>
            <c:numRef>
              <c:f>Лист1!$B$126:$E$126</c:f>
              <c:numCache>
                <c:formatCode>General</c:formatCode>
                <c:ptCount val="4"/>
                <c:pt idx="0">
                  <c:v>23</c:v>
                </c:pt>
                <c:pt idx="1">
                  <c:v>42</c:v>
                </c:pt>
                <c:pt idx="2">
                  <c:v>65</c:v>
                </c:pt>
                <c:pt idx="3">
                  <c:v>60</c:v>
                </c:pt>
              </c:numCache>
            </c:numRef>
          </c:val>
        </c:ser>
        <c:dLbls>
          <c:showLegendKey val="0"/>
          <c:showVal val="0"/>
          <c:showCatName val="0"/>
          <c:showSerName val="0"/>
          <c:showPercent val="0"/>
          <c:showBubbleSize val="0"/>
        </c:dLbls>
        <c:gapWidth val="150"/>
        <c:shape val="cylinder"/>
        <c:axId val="502491632"/>
        <c:axId val="502493984"/>
        <c:axId val="0"/>
      </c:bar3DChart>
      <c:catAx>
        <c:axId val="502491632"/>
        <c:scaling>
          <c:orientation val="minMax"/>
        </c:scaling>
        <c:delete val="0"/>
        <c:axPos val="l"/>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493984"/>
        <c:crosses val="autoZero"/>
        <c:auto val="1"/>
        <c:lblAlgn val="ctr"/>
        <c:lblOffset val="100"/>
        <c:noMultiLvlLbl val="0"/>
      </c:catAx>
      <c:valAx>
        <c:axId val="502493984"/>
        <c:scaling>
          <c:orientation val="minMax"/>
        </c:scaling>
        <c:delete val="1"/>
        <c:axPos val="b"/>
        <c:numFmt formatCode="General" sourceLinked="1"/>
        <c:majorTickMark val="out"/>
        <c:minorTickMark val="none"/>
        <c:tickLblPos val="none"/>
        <c:crossAx val="502491632"/>
        <c:crosses val="autoZero"/>
        <c:crossBetween val="between"/>
      </c:valAx>
      <c:spPr>
        <a:noFill/>
        <a:ln w="25400">
          <a:noFill/>
        </a:ln>
      </c:spPr>
    </c:plotArea>
    <c:plotVisOnly val="1"/>
    <c:dispBlanksAs val="gap"/>
    <c:showDLblsOverMax val="0"/>
  </c:chart>
  <c:spPr>
    <a:ln>
      <a:noFill/>
    </a:ln>
  </c:spPr>
  <c:externalData r:id="rId2">
    <c:autoUpdate val="0"/>
  </c:externalData>
</c:chartSpace>
</file>

<file path=word/charts/chart10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manualLayout>
          <c:xMode val="edge"/>
          <c:yMode val="edge"/>
          <c:x val="0.11278136191771591"/>
          <c:y val="0"/>
        </c:manualLayout>
      </c:layout>
      <c:overlay val="0"/>
      <c:txPr>
        <a:bodyPr/>
        <a:lstStyle/>
        <a:p>
          <a:pPr>
            <a:defRPr sz="1200">
              <a:latin typeface="Times New Roman" pitchFamily="18" charset="0"/>
              <a:cs typeface="Times New Roman" pitchFamily="18" charset="0"/>
            </a:defRPr>
          </a:pPr>
          <a:endParaRPr lang="ru-RU"/>
        </a:p>
      </c:txPr>
    </c:title>
    <c:autoTitleDeleted val="0"/>
    <c:view3D>
      <c:rotX val="15"/>
      <c:rotY val="20"/>
      <c:rAngAx val="1"/>
    </c:view3D>
    <c:floor>
      <c:thickness val="0"/>
    </c:floor>
    <c:sideWall>
      <c:thickness val="0"/>
    </c:sideWall>
    <c:backWall>
      <c:thickness val="0"/>
    </c:backWall>
    <c:plotArea>
      <c:layout>
        <c:manualLayout>
          <c:layoutTarget val="inner"/>
          <c:xMode val="edge"/>
          <c:yMode val="edge"/>
          <c:x val="0"/>
          <c:y val="0.22037037037037038"/>
          <c:w val="0.80005889913523087"/>
          <c:h val="0.65721180217642194"/>
        </c:manualLayout>
      </c:layout>
      <c:bar3DChart>
        <c:barDir val="col"/>
        <c:grouping val="clustered"/>
        <c:varyColors val="0"/>
        <c:ser>
          <c:idx val="0"/>
          <c:order val="0"/>
          <c:tx>
            <c:strRef>
              <c:f>Лист1!$A$88</c:f>
              <c:strCache>
                <c:ptCount val="1"/>
                <c:pt idx="0">
                  <c:v>Кількість студентів, які отримали стипендії міського голови</c:v>
                </c:pt>
              </c:strCache>
            </c:strRef>
          </c:tx>
          <c:invertIfNegative val="0"/>
          <c:dLbls>
            <c:dLbl>
              <c:idx val="0"/>
              <c:layout>
                <c:manualLayout>
                  <c:x val="8.3333333333333228E-3"/>
                  <c:y val="-4.6296296296296936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7777777777778486E-3"/>
                  <c:y val="-1.388888888888908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5555555555555558E-3"/>
                  <c:y val="-9.2592592592594461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8.3333333333333367E-3"/>
                  <c:y val="-9.2592592592594461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Лист1!$B$87:$E$87</c:f>
              <c:strCache>
                <c:ptCount val="4"/>
                <c:pt idx="0">
                  <c:v>2014 рік</c:v>
                </c:pt>
                <c:pt idx="1">
                  <c:v>2015 рік</c:v>
                </c:pt>
                <c:pt idx="2">
                  <c:v>2016 рік</c:v>
                </c:pt>
                <c:pt idx="3">
                  <c:v>9 міс. 2017 року</c:v>
                </c:pt>
              </c:strCache>
            </c:strRef>
          </c:cat>
          <c:val>
            <c:numRef>
              <c:f>Лист1!$B$88:$E$88</c:f>
              <c:numCache>
                <c:formatCode>General</c:formatCode>
                <c:ptCount val="4"/>
                <c:pt idx="0">
                  <c:v>15</c:v>
                </c:pt>
                <c:pt idx="1">
                  <c:v>17</c:v>
                </c:pt>
                <c:pt idx="2">
                  <c:v>18</c:v>
                </c:pt>
                <c:pt idx="3">
                  <c:v>25</c:v>
                </c:pt>
              </c:numCache>
            </c:numRef>
          </c:val>
        </c:ser>
        <c:dLbls>
          <c:showLegendKey val="0"/>
          <c:showVal val="0"/>
          <c:showCatName val="0"/>
          <c:showSerName val="0"/>
          <c:showPercent val="0"/>
          <c:showBubbleSize val="0"/>
        </c:dLbls>
        <c:gapWidth val="150"/>
        <c:shape val="cylinder"/>
        <c:axId val="502490064"/>
        <c:axId val="502495552"/>
        <c:axId val="0"/>
      </c:bar3DChart>
      <c:catAx>
        <c:axId val="502490064"/>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495552"/>
        <c:crosses val="autoZero"/>
        <c:auto val="1"/>
        <c:lblAlgn val="ctr"/>
        <c:lblOffset val="100"/>
        <c:noMultiLvlLbl val="0"/>
      </c:catAx>
      <c:valAx>
        <c:axId val="502495552"/>
        <c:scaling>
          <c:orientation val="minMax"/>
        </c:scaling>
        <c:delete val="1"/>
        <c:axPos val="l"/>
        <c:numFmt formatCode="General" sourceLinked="1"/>
        <c:majorTickMark val="out"/>
        <c:minorTickMark val="none"/>
        <c:tickLblPos val="none"/>
        <c:crossAx val="502490064"/>
        <c:crosses val="autoZero"/>
        <c:crossBetween val="between"/>
      </c:valAx>
    </c:plotArea>
    <c:plotVisOnly val="1"/>
    <c:dispBlanksAs val="gap"/>
    <c:showDLblsOverMax val="0"/>
  </c:chart>
  <c:spPr>
    <a:ln>
      <a:noFill/>
    </a:ln>
  </c:spPr>
  <c:externalData r:id="rId2">
    <c:autoUpdate val="0"/>
  </c:externalData>
</c:chartSpace>
</file>

<file path=word/charts/chart10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50"/>
            </a:pPr>
            <a:r>
              <a:rPr lang="uk-UA" sz="1050">
                <a:latin typeface="Times New Roman" pitchFamily="18" charset="0"/>
                <a:cs typeface="Times New Roman" pitchFamily="18" charset="0"/>
              </a:rPr>
              <a:t>Кількість</a:t>
            </a:r>
            <a:r>
              <a:rPr lang="uk-UA" sz="1050" baseline="0">
                <a:latin typeface="Times New Roman" pitchFamily="18" charset="0"/>
                <a:cs typeface="Times New Roman" pitchFamily="18" charset="0"/>
              </a:rPr>
              <a:t> оздоровлених дітей у тоборі "Супутник" та охоплених відпочинком в пришкільних таборах, осіб</a:t>
            </a:r>
            <a:endParaRPr lang="uk-UA" sz="1050">
              <a:latin typeface="Times New Roman" pitchFamily="18" charset="0"/>
              <a:cs typeface="Times New Roman" pitchFamily="18" charset="0"/>
            </a:endParaRPr>
          </a:p>
        </c:rich>
      </c:tx>
      <c:layout>
        <c:manualLayout>
          <c:xMode val="edge"/>
          <c:yMode val="edge"/>
          <c:x val="0.16693744531933746"/>
          <c:y val="9.2592592592594461E-3"/>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9.259842519685306E-4"/>
          <c:y val="0.22206899551920803"/>
          <c:w val="0.98629641294838721"/>
          <c:h val="0.60975420890068865"/>
        </c:manualLayout>
      </c:layout>
      <c:bar3DChart>
        <c:barDir val="col"/>
        <c:grouping val="clustered"/>
        <c:varyColors val="0"/>
        <c:ser>
          <c:idx val="0"/>
          <c:order val="0"/>
          <c:tx>
            <c:strRef>
              <c:f>Лист1!$A$115</c:f>
              <c:strCache>
                <c:ptCount val="1"/>
                <c:pt idx="0">
                  <c:v>Кількість оздоровлених дітей</c:v>
                </c:pt>
              </c:strCache>
            </c:strRef>
          </c:tx>
          <c:invertIfNegative val="0"/>
          <c:dLbls>
            <c:dLbl>
              <c:idx val="0"/>
              <c:layout>
                <c:manualLayout>
                  <c:x val="5.5555555555555558E-3"/>
                  <c:y val="-9.2592592592594461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8.3333333333333367E-3"/>
                  <c:y val="-9.2592592592594461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5555555555555558E-3"/>
                  <c:y val="-1.8518518518518583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7777777777779605E-3"/>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Лист1!$B$114:$E$114</c:f>
              <c:strCache>
                <c:ptCount val="4"/>
                <c:pt idx="0">
                  <c:v>2014 рік</c:v>
                </c:pt>
                <c:pt idx="1">
                  <c:v>2015 рік</c:v>
                </c:pt>
                <c:pt idx="2">
                  <c:v>2016 рік</c:v>
                </c:pt>
                <c:pt idx="3">
                  <c:v>9 міс.2017 року</c:v>
                </c:pt>
              </c:strCache>
            </c:strRef>
          </c:cat>
          <c:val>
            <c:numRef>
              <c:f>Лист1!$B$115:$E$115</c:f>
              <c:numCache>
                <c:formatCode>General</c:formatCode>
                <c:ptCount val="4"/>
                <c:pt idx="0">
                  <c:v>180</c:v>
                </c:pt>
                <c:pt idx="1">
                  <c:v>900</c:v>
                </c:pt>
                <c:pt idx="2">
                  <c:v>900</c:v>
                </c:pt>
                <c:pt idx="3">
                  <c:v>900</c:v>
                </c:pt>
              </c:numCache>
            </c:numRef>
          </c:val>
        </c:ser>
        <c:ser>
          <c:idx val="1"/>
          <c:order val="1"/>
          <c:tx>
            <c:strRef>
              <c:f>Лист1!$A$116</c:f>
              <c:strCache>
                <c:ptCount val="1"/>
                <c:pt idx="0">
                  <c:v>Кількість дітей, охоплених відпочинком</c:v>
                </c:pt>
              </c:strCache>
            </c:strRef>
          </c:tx>
          <c:spPr>
            <a:solidFill>
              <a:schemeClr val="accent3">
                <a:lumMod val="75000"/>
              </a:schemeClr>
            </a:solidFill>
          </c:spPr>
          <c:invertIfNegative val="0"/>
          <c:dLbls>
            <c:dLbl>
              <c:idx val="0"/>
              <c:layout>
                <c:manualLayout>
                  <c:x val="8.3333333333333367E-3"/>
                  <c:y val="-1.851851851851858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000000000000001E-2"/>
                  <c:y val="-1.388888888888908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6666666666666701E-2"/>
                  <c:y val="-2.3148148148148077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6666447944007179E-2"/>
                  <c:y val="-1.388888888888908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Лист1!$B$114:$E$114</c:f>
              <c:strCache>
                <c:ptCount val="4"/>
                <c:pt idx="0">
                  <c:v>2014 рік</c:v>
                </c:pt>
                <c:pt idx="1">
                  <c:v>2015 рік</c:v>
                </c:pt>
                <c:pt idx="2">
                  <c:v>2016 рік</c:v>
                </c:pt>
                <c:pt idx="3">
                  <c:v>9 міс.2017 року</c:v>
                </c:pt>
              </c:strCache>
            </c:strRef>
          </c:cat>
          <c:val>
            <c:numRef>
              <c:f>Лист1!$B$116:$E$116</c:f>
              <c:numCache>
                <c:formatCode>General</c:formatCode>
                <c:ptCount val="4"/>
                <c:pt idx="0">
                  <c:v>820</c:v>
                </c:pt>
                <c:pt idx="1">
                  <c:v>898</c:v>
                </c:pt>
                <c:pt idx="2">
                  <c:v>1733</c:v>
                </c:pt>
                <c:pt idx="3">
                  <c:v>1672</c:v>
                </c:pt>
              </c:numCache>
            </c:numRef>
          </c:val>
        </c:ser>
        <c:dLbls>
          <c:showLegendKey val="0"/>
          <c:showVal val="1"/>
          <c:showCatName val="0"/>
          <c:showSerName val="0"/>
          <c:showPercent val="0"/>
          <c:showBubbleSize val="0"/>
        </c:dLbls>
        <c:gapWidth val="150"/>
        <c:shape val="box"/>
        <c:axId val="502485752"/>
        <c:axId val="502487320"/>
        <c:axId val="0"/>
      </c:bar3DChart>
      <c:catAx>
        <c:axId val="502485752"/>
        <c:scaling>
          <c:orientation val="minMax"/>
        </c:scaling>
        <c:delete val="0"/>
        <c:axPos val="b"/>
        <c:numFmt formatCode="General" sourceLinked="0"/>
        <c:majorTickMark val="none"/>
        <c:minorTickMark val="none"/>
        <c:tickLblPos val="nextTo"/>
        <c:txPr>
          <a:bodyPr/>
          <a:lstStyle/>
          <a:p>
            <a:pPr>
              <a:defRPr b="1">
                <a:latin typeface="Times New Roman" pitchFamily="18" charset="0"/>
                <a:cs typeface="Times New Roman" pitchFamily="18" charset="0"/>
              </a:defRPr>
            </a:pPr>
            <a:endParaRPr lang="ru-RU"/>
          </a:p>
        </c:txPr>
        <c:crossAx val="502487320"/>
        <c:crosses val="autoZero"/>
        <c:auto val="1"/>
        <c:lblAlgn val="ctr"/>
        <c:lblOffset val="100"/>
        <c:noMultiLvlLbl val="0"/>
      </c:catAx>
      <c:valAx>
        <c:axId val="502487320"/>
        <c:scaling>
          <c:orientation val="minMax"/>
        </c:scaling>
        <c:delete val="1"/>
        <c:axPos val="l"/>
        <c:numFmt formatCode="General" sourceLinked="1"/>
        <c:majorTickMark val="out"/>
        <c:minorTickMark val="none"/>
        <c:tickLblPos val="none"/>
        <c:crossAx val="502485752"/>
        <c:crosses val="autoZero"/>
        <c:crossBetween val="between"/>
      </c:valAx>
    </c:plotArea>
    <c:legend>
      <c:legendPos val="t"/>
      <c:layout>
        <c:manualLayout>
          <c:xMode val="edge"/>
          <c:yMode val="edge"/>
          <c:x val="0"/>
          <c:y val="0.17724148431722714"/>
          <c:w val="0.38325179352581257"/>
          <c:h val="0.30271017822489427"/>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0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uk-UA" sz="1200">
                <a:latin typeface="Times New Roman" pitchFamily="18" charset="0"/>
                <a:cs typeface="Times New Roman" pitchFamily="18" charset="0"/>
              </a:rPr>
              <a:t>Мережа</a:t>
            </a:r>
            <a:r>
              <a:rPr lang="uk-UA" sz="1200" baseline="0">
                <a:latin typeface="Times New Roman" pitchFamily="18" charset="0"/>
                <a:cs typeface="Times New Roman" pitchFamily="18" charset="0"/>
              </a:rPr>
              <a:t> спортивних об</a:t>
            </a:r>
            <a:r>
              <a:rPr lang="en-US" sz="1200" baseline="0">
                <a:latin typeface="Times New Roman" pitchFamily="18" charset="0"/>
                <a:cs typeface="Times New Roman" pitchFamily="18" charset="0"/>
              </a:rPr>
              <a:t>'</a:t>
            </a:r>
            <a:r>
              <a:rPr lang="uk-UA" sz="1200" baseline="0">
                <a:latin typeface="Times New Roman" pitchFamily="18" charset="0"/>
                <a:cs typeface="Times New Roman" pitchFamily="18" charset="0"/>
              </a:rPr>
              <a:t>єктів міста, од.</a:t>
            </a:r>
            <a:endParaRPr lang="ru-RU" sz="1200">
              <a:latin typeface="Times New Roman" pitchFamily="18" charset="0"/>
              <a:cs typeface="Times New Roman" pitchFamily="18" charset="0"/>
            </a:endParaRPr>
          </a:p>
        </c:rich>
      </c:tx>
      <c:overlay val="0"/>
    </c:title>
    <c:autoTitleDeleted val="0"/>
    <c:plotArea>
      <c:layout>
        <c:manualLayout>
          <c:layoutTarget val="inner"/>
          <c:xMode val="edge"/>
          <c:yMode val="edge"/>
          <c:x val="0.49129396325459757"/>
          <c:y val="0.17592592592592593"/>
          <c:w val="0.50037270341207352"/>
          <c:h val="0.77314814814815769"/>
        </c:manualLayout>
      </c:layout>
      <c:barChart>
        <c:barDir val="bar"/>
        <c:grouping val="clustered"/>
        <c:varyColors val="0"/>
        <c:ser>
          <c:idx val="0"/>
          <c:order val="0"/>
          <c:invertIfNegative val="0"/>
          <c:dLbls>
            <c:spPr>
              <a:noFill/>
              <a:ln>
                <a:noFill/>
              </a:ln>
              <a:effectLst/>
            </c:spPr>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Лист1!$A$4:$A$13</c:f>
              <c:strCache>
                <c:ptCount val="10"/>
                <c:pt idx="0">
                  <c:v>Інші</c:v>
                </c:pt>
                <c:pt idx="1">
                  <c:v>Фізкультурно-оздоровчі комплекси</c:v>
                </c:pt>
                <c:pt idx="2">
                  <c:v>Спортивні зали площею не менше 162 кв.м.</c:v>
                </c:pt>
                <c:pt idx="3">
                  <c:v>Майданчики для ігрових видів спорту</c:v>
                </c:pt>
                <c:pt idx="4">
                  <c:v>Футбольні поля</c:v>
                </c:pt>
                <c:pt idx="5">
                  <c:v>Стрілецькі тири</c:v>
                </c:pt>
                <c:pt idx="6">
                  <c:v>Тенісні корти</c:v>
                </c:pt>
                <c:pt idx="7">
                  <c:v>Басейни</c:v>
                </c:pt>
                <c:pt idx="8">
                  <c:v>Споруди зі штучним льодом</c:v>
                </c:pt>
                <c:pt idx="9">
                  <c:v>Стадіони</c:v>
                </c:pt>
              </c:strCache>
            </c:strRef>
          </c:cat>
          <c:val>
            <c:numRef>
              <c:f>Лист1!$B$4:$B$13</c:f>
              <c:numCache>
                <c:formatCode>General</c:formatCode>
                <c:ptCount val="10"/>
                <c:pt idx="0">
                  <c:v>154</c:v>
                </c:pt>
                <c:pt idx="1">
                  <c:v>3</c:v>
                </c:pt>
                <c:pt idx="2">
                  <c:v>75</c:v>
                </c:pt>
                <c:pt idx="3">
                  <c:v>140</c:v>
                </c:pt>
                <c:pt idx="4">
                  <c:v>4</c:v>
                </c:pt>
                <c:pt idx="5">
                  <c:v>33</c:v>
                </c:pt>
                <c:pt idx="6">
                  <c:v>7</c:v>
                </c:pt>
                <c:pt idx="7">
                  <c:v>7</c:v>
                </c:pt>
                <c:pt idx="8">
                  <c:v>1</c:v>
                </c:pt>
                <c:pt idx="9">
                  <c:v>4</c:v>
                </c:pt>
              </c:numCache>
            </c:numRef>
          </c:val>
        </c:ser>
        <c:dLbls>
          <c:showLegendKey val="0"/>
          <c:showVal val="0"/>
          <c:showCatName val="0"/>
          <c:showSerName val="0"/>
          <c:showPercent val="0"/>
          <c:showBubbleSize val="0"/>
        </c:dLbls>
        <c:gapWidth val="150"/>
        <c:axId val="502488888"/>
        <c:axId val="502489280"/>
      </c:barChart>
      <c:catAx>
        <c:axId val="502488888"/>
        <c:scaling>
          <c:orientation val="minMax"/>
        </c:scaling>
        <c:delete val="0"/>
        <c:axPos val="l"/>
        <c:numFmt formatCode="General" sourceLinked="0"/>
        <c:majorTickMark val="out"/>
        <c:minorTickMark val="none"/>
        <c:tickLblPos val="nextTo"/>
        <c:txPr>
          <a:bodyPr/>
          <a:lstStyle/>
          <a:p>
            <a:pPr>
              <a:defRPr sz="1000">
                <a:latin typeface="Times New Roman" pitchFamily="18" charset="0"/>
                <a:cs typeface="Times New Roman" pitchFamily="18" charset="0"/>
              </a:defRPr>
            </a:pPr>
            <a:endParaRPr lang="ru-RU"/>
          </a:p>
        </c:txPr>
        <c:crossAx val="502489280"/>
        <c:crosses val="autoZero"/>
        <c:auto val="1"/>
        <c:lblAlgn val="ctr"/>
        <c:lblOffset val="100"/>
        <c:noMultiLvlLbl val="0"/>
      </c:catAx>
      <c:valAx>
        <c:axId val="502489280"/>
        <c:scaling>
          <c:orientation val="minMax"/>
        </c:scaling>
        <c:delete val="1"/>
        <c:axPos val="b"/>
        <c:numFmt formatCode="General" sourceLinked="1"/>
        <c:majorTickMark val="out"/>
        <c:minorTickMark val="none"/>
        <c:tickLblPos val="none"/>
        <c:crossAx val="502488888"/>
        <c:crosses val="autoZero"/>
        <c:crossBetween val="between"/>
      </c:valAx>
      <c:spPr>
        <a:noFill/>
        <a:ln w="25400">
          <a:noFill/>
        </a:ln>
      </c:spPr>
    </c:plotArea>
    <c:plotVisOnly val="1"/>
    <c:dispBlanksAs val="gap"/>
    <c:showDLblsOverMax val="0"/>
  </c:chart>
  <c:spPr>
    <a:ln>
      <a:noFill/>
    </a:ln>
  </c:spPr>
  <c:externalData r:id="rId1">
    <c:autoUpdate val="0"/>
  </c:externalData>
</c:chartSpace>
</file>

<file path=word/charts/chart10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00">
                <a:latin typeface="Times New Roman" pitchFamily="18" charset="0"/>
                <a:cs typeface="Times New Roman" pitchFamily="18" charset="0"/>
              </a:defRPr>
            </a:pPr>
            <a:r>
              <a:rPr lang="ru-RU" sz="1300">
                <a:latin typeface="Times New Roman" pitchFamily="18" charset="0"/>
                <a:cs typeface="Times New Roman" pitchFamily="18" charset="0"/>
              </a:rPr>
              <a:t>Кількість спортивних майданчиків, од</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2.7725267800882192E-2"/>
          <c:y val="0.23066032587510721"/>
          <c:w val="0.68178954001260239"/>
          <c:h val="0.45950469062654298"/>
        </c:manualLayout>
      </c:layout>
      <c:bar3DChart>
        <c:barDir val="col"/>
        <c:grouping val="clustered"/>
        <c:varyColors val="0"/>
        <c:ser>
          <c:idx val="0"/>
          <c:order val="0"/>
          <c:tx>
            <c:strRef>
              <c:f>Лист1!$A$22</c:f>
              <c:strCache>
                <c:ptCount val="1"/>
                <c:pt idx="0">
                  <c:v>Кількість спортивних майданчиків</c:v>
                </c:pt>
              </c:strCache>
            </c:strRef>
          </c:tx>
          <c:invertIfNegative val="0"/>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Лист1!$B$21:$E$21</c:f>
              <c:strCache>
                <c:ptCount val="4"/>
                <c:pt idx="0">
                  <c:v>2014 рік</c:v>
                </c:pt>
                <c:pt idx="1">
                  <c:v>2015 рік</c:v>
                </c:pt>
                <c:pt idx="2">
                  <c:v>2016 рік </c:v>
                </c:pt>
                <c:pt idx="3">
                  <c:v>9 міс.2017 року</c:v>
                </c:pt>
              </c:strCache>
            </c:strRef>
          </c:cat>
          <c:val>
            <c:numRef>
              <c:f>Лист1!$B$22:$E$22</c:f>
              <c:numCache>
                <c:formatCode>General</c:formatCode>
                <c:ptCount val="4"/>
                <c:pt idx="0">
                  <c:v>167</c:v>
                </c:pt>
                <c:pt idx="1">
                  <c:v>167</c:v>
                </c:pt>
                <c:pt idx="2">
                  <c:v>169</c:v>
                </c:pt>
                <c:pt idx="3">
                  <c:v>171</c:v>
                </c:pt>
              </c:numCache>
            </c:numRef>
          </c:val>
        </c:ser>
        <c:ser>
          <c:idx val="1"/>
          <c:order val="1"/>
          <c:tx>
            <c:strRef>
              <c:f>Лист1!$A$23</c:f>
              <c:strCache>
                <c:ptCount val="1"/>
                <c:pt idx="0">
                  <c:v>в т.ч. зі штучним покриттям</c:v>
                </c:pt>
              </c:strCache>
            </c:strRef>
          </c:tx>
          <c:spPr>
            <a:solidFill>
              <a:schemeClr val="accent3"/>
            </a:solidFill>
          </c:spPr>
          <c:invertIfNegative val="0"/>
          <c:dLbls>
            <c:dLbl>
              <c:idx val="0"/>
              <c:layout>
                <c:manualLayout>
                  <c:x val="1.3888888888889136E-2"/>
                  <c:y val="-4.6296296296297014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111111111111125E-2"/>
                  <c:y val="0"/>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6666666666666701E-2"/>
                  <c:y val="0"/>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6666666666666701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Лист1!$B$21:$E$21</c:f>
              <c:strCache>
                <c:ptCount val="4"/>
                <c:pt idx="0">
                  <c:v>2014 рік</c:v>
                </c:pt>
                <c:pt idx="1">
                  <c:v>2015 рік</c:v>
                </c:pt>
                <c:pt idx="2">
                  <c:v>2016 рік </c:v>
                </c:pt>
                <c:pt idx="3">
                  <c:v>9 міс.2017 року</c:v>
                </c:pt>
              </c:strCache>
            </c:strRef>
          </c:cat>
          <c:val>
            <c:numRef>
              <c:f>Лист1!$B$23:$E$23</c:f>
              <c:numCache>
                <c:formatCode>General</c:formatCode>
                <c:ptCount val="4"/>
                <c:pt idx="0">
                  <c:v>10</c:v>
                </c:pt>
                <c:pt idx="1">
                  <c:v>10</c:v>
                </c:pt>
                <c:pt idx="2">
                  <c:v>12</c:v>
                </c:pt>
                <c:pt idx="3">
                  <c:v>14</c:v>
                </c:pt>
              </c:numCache>
            </c:numRef>
          </c:val>
        </c:ser>
        <c:dLbls>
          <c:showLegendKey val="0"/>
          <c:showVal val="0"/>
          <c:showCatName val="0"/>
          <c:showSerName val="0"/>
          <c:showPercent val="0"/>
          <c:showBubbleSize val="0"/>
        </c:dLbls>
        <c:gapWidth val="150"/>
        <c:shape val="cylinder"/>
        <c:axId val="509804104"/>
        <c:axId val="509804496"/>
        <c:axId val="0"/>
      </c:bar3DChart>
      <c:catAx>
        <c:axId val="509804104"/>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509804496"/>
        <c:crosses val="autoZero"/>
        <c:auto val="1"/>
        <c:lblAlgn val="ctr"/>
        <c:lblOffset val="100"/>
        <c:noMultiLvlLbl val="0"/>
      </c:catAx>
      <c:valAx>
        <c:axId val="509804496"/>
        <c:scaling>
          <c:orientation val="minMax"/>
        </c:scaling>
        <c:delete val="1"/>
        <c:axPos val="l"/>
        <c:numFmt formatCode="General" sourceLinked="1"/>
        <c:majorTickMark val="out"/>
        <c:minorTickMark val="none"/>
        <c:tickLblPos val="none"/>
        <c:crossAx val="509804104"/>
        <c:crosses val="autoZero"/>
        <c:crossBetween val="between"/>
      </c:valAx>
    </c:plotArea>
    <c:legend>
      <c:legendPos val="r"/>
      <c:layout>
        <c:manualLayout>
          <c:xMode val="edge"/>
          <c:yMode val="edge"/>
          <c:x val="0.67422810333964223"/>
          <c:y val="0.39468101140822742"/>
          <c:w val="0.31064902331443356"/>
          <c:h val="0.36869104233257971"/>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uk-UA" sz="1200">
                <a:latin typeface="Times New Roman" pitchFamily="18" charset="0"/>
                <a:cs typeface="Times New Roman" pitchFamily="18" charset="0"/>
              </a:rPr>
              <a:t>Кількість</a:t>
            </a:r>
            <a:r>
              <a:rPr lang="uk-UA" sz="1200" baseline="0">
                <a:latin typeface="Times New Roman" pitchFamily="18" charset="0"/>
                <a:cs typeface="Times New Roman" pitchFamily="18" charset="0"/>
              </a:rPr>
              <a:t> виданих дозволів та зареєстрованих декларацій, од.</a:t>
            </a:r>
            <a:endParaRPr lang="uk-UA" sz="1200">
              <a:latin typeface="Times New Roman" pitchFamily="18" charset="0"/>
              <a:cs typeface="Times New Roman" pitchFamily="18" charset="0"/>
            </a:endParaRPr>
          </a:p>
        </c:rich>
      </c:tx>
      <c:layout>
        <c:manualLayout>
          <c:xMode val="edge"/>
          <c:yMode val="edge"/>
          <c:x val="0.22210011338081537"/>
          <c:y val="1.1627906976744136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
          <c:y val="0.20462962962962766"/>
          <c:w val="0.74348198122012787"/>
          <c:h val="0.6228860454943137"/>
        </c:manualLayout>
      </c:layout>
      <c:bar3DChart>
        <c:barDir val="col"/>
        <c:grouping val="clustered"/>
        <c:varyColors val="0"/>
        <c:ser>
          <c:idx val="0"/>
          <c:order val="0"/>
          <c:tx>
            <c:strRef>
              <c:f>Лист1!$B$150:$B$151</c:f>
              <c:strCache>
                <c:ptCount val="1"/>
                <c:pt idx="0">
                  <c:v>Виданих дозволів</c:v>
                </c:pt>
              </c:strCache>
            </c:strRef>
          </c:tx>
          <c:invertIfNegative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Лист1!$A$152:$A$155</c:f>
              <c:strCache>
                <c:ptCount val="4"/>
                <c:pt idx="0">
                  <c:v>2014 рік</c:v>
                </c:pt>
                <c:pt idx="1">
                  <c:v>2015 рік</c:v>
                </c:pt>
                <c:pt idx="2">
                  <c:v>2016 рік</c:v>
                </c:pt>
                <c:pt idx="3">
                  <c:v>6 міс. 2017 року</c:v>
                </c:pt>
              </c:strCache>
            </c:strRef>
          </c:cat>
          <c:val>
            <c:numRef>
              <c:f>Лист1!$B$152:$B$155</c:f>
              <c:numCache>
                <c:formatCode>General</c:formatCode>
                <c:ptCount val="4"/>
                <c:pt idx="0">
                  <c:v>4300</c:v>
                </c:pt>
                <c:pt idx="1">
                  <c:v>3500</c:v>
                </c:pt>
                <c:pt idx="2">
                  <c:v>7300</c:v>
                </c:pt>
                <c:pt idx="3">
                  <c:v>5100</c:v>
                </c:pt>
              </c:numCache>
            </c:numRef>
          </c:val>
        </c:ser>
        <c:ser>
          <c:idx val="1"/>
          <c:order val="1"/>
          <c:tx>
            <c:strRef>
              <c:f>Лист1!$C$150:$C$151</c:f>
              <c:strCache>
                <c:ptCount val="1"/>
                <c:pt idx="0">
                  <c:v>Зареєстованих декларацій</c:v>
                </c:pt>
              </c:strCache>
            </c:strRef>
          </c:tx>
          <c:spPr>
            <a:solidFill>
              <a:schemeClr val="accent3">
                <a:lumMod val="75000"/>
              </a:schemeClr>
            </a:solidFill>
          </c:spPr>
          <c:invertIfNegative val="0"/>
          <c:dLbls>
            <c:dLbl>
              <c:idx val="0"/>
              <c:layout>
                <c:manualLayout>
                  <c:x val="1.9444444444444445E-2"/>
                  <c:y val="-9.2592592592594825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5759682784282036E-2"/>
                  <c:y val="0"/>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9444444444444445E-2"/>
                  <c:y val="0"/>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5000000000000001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Лист1!$A$152:$A$155</c:f>
              <c:strCache>
                <c:ptCount val="4"/>
                <c:pt idx="0">
                  <c:v>2014 рік</c:v>
                </c:pt>
                <c:pt idx="1">
                  <c:v>2015 рік</c:v>
                </c:pt>
                <c:pt idx="2">
                  <c:v>2016 рік</c:v>
                </c:pt>
                <c:pt idx="3">
                  <c:v>6 міс. 2017 року</c:v>
                </c:pt>
              </c:strCache>
            </c:strRef>
          </c:cat>
          <c:val>
            <c:numRef>
              <c:f>Лист1!$C$152:$C$155</c:f>
              <c:numCache>
                <c:formatCode>General</c:formatCode>
                <c:ptCount val="4"/>
                <c:pt idx="0">
                  <c:v>1350</c:v>
                </c:pt>
                <c:pt idx="1">
                  <c:v>2600</c:v>
                </c:pt>
                <c:pt idx="2">
                  <c:v>3000</c:v>
                </c:pt>
                <c:pt idx="3">
                  <c:v>2400</c:v>
                </c:pt>
              </c:numCache>
            </c:numRef>
          </c:val>
        </c:ser>
        <c:dLbls>
          <c:showLegendKey val="0"/>
          <c:showVal val="0"/>
          <c:showCatName val="0"/>
          <c:showSerName val="0"/>
          <c:showPercent val="0"/>
          <c:showBubbleSize val="0"/>
        </c:dLbls>
        <c:gapWidth val="150"/>
        <c:shape val="cylinder"/>
        <c:axId val="423760320"/>
        <c:axId val="423748560"/>
        <c:axId val="0"/>
      </c:bar3DChart>
      <c:catAx>
        <c:axId val="423760320"/>
        <c:scaling>
          <c:orientation val="minMax"/>
        </c:scaling>
        <c:delete val="0"/>
        <c:axPos val="b"/>
        <c:numFmt formatCode="General" sourceLinked="0"/>
        <c:majorTickMark val="out"/>
        <c:minorTickMark val="none"/>
        <c:tickLblPos val="nextTo"/>
        <c:txPr>
          <a:bodyPr/>
          <a:lstStyle/>
          <a:p>
            <a:pPr>
              <a:defRPr sz="900" b="1">
                <a:latin typeface="Times New Roman" pitchFamily="18" charset="0"/>
                <a:cs typeface="Times New Roman" pitchFamily="18" charset="0"/>
              </a:defRPr>
            </a:pPr>
            <a:endParaRPr lang="ru-RU"/>
          </a:p>
        </c:txPr>
        <c:crossAx val="423748560"/>
        <c:crosses val="autoZero"/>
        <c:auto val="1"/>
        <c:lblAlgn val="ctr"/>
        <c:lblOffset val="100"/>
        <c:noMultiLvlLbl val="0"/>
      </c:catAx>
      <c:valAx>
        <c:axId val="423748560"/>
        <c:scaling>
          <c:orientation val="minMax"/>
        </c:scaling>
        <c:delete val="1"/>
        <c:axPos val="l"/>
        <c:majorGridlines>
          <c:spPr>
            <a:ln>
              <a:noFill/>
            </a:ln>
          </c:spPr>
        </c:majorGridlines>
        <c:numFmt formatCode="General" sourceLinked="1"/>
        <c:majorTickMark val="out"/>
        <c:minorTickMark val="none"/>
        <c:tickLblPos val="none"/>
        <c:crossAx val="423760320"/>
        <c:crosses val="autoZero"/>
        <c:crossBetween val="between"/>
      </c:valAx>
    </c:plotArea>
    <c:legend>
      <c:legendPos val="r"/>
      <c:layout>
        <c:manualLayout>
          <c:xMode val="edge"/>
          <c:yMode val="edge"/>
          <c:x val="0.7012584644103258"/>
          <c:y val="0.33798937923458211"/>
          <c:w val="0.29555935579651577"/>
          <c:h val="0.35076542757736678"/>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Кількість осіб, які займаються спортом в секціях, гуртках, на уроках фізкультури, тис. осіб.</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
          <c:y val="0.41240344956880398"/>
          <c:w val="0.99976760186530056"/>
          <c:h val="0.48452172049922332"/>
        </c:manualLayout>
      </c:layout>
      <c:bar3DChart>
        <c:barDir val="col"/>
        <c:grouping val="clustered"/>
        <c:varyColors val="0"/>
        <c:ser>
          <c:idx val="0"/>
          <c:order val="0"/>
          <c:tx>
            <c:strRef>
              <c:f>Лист1!$A$31</c:f>
              <c:strCache>
                <c:ptCount val="1"/>
                <c:pt idx="0">
                  <c:v>Кількість осіб, які займаються спортом в секціях, гуртках, в т.ч. на уроках фізкультури, тис. осіб.</c:v>
                </c:pt>
              </c:strCache>
            </c:strRef>
          </c:tx>
          <c:invertIfNegative val="0"/>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Лист1!$B$30:$E$30</c:f>
              <c:strCache>
                <c:ptCount val="4"/>
                <c:pt idx="0">
                  <c:v>2014 рік</c:v>
                </c:pt>
                <c:pt idx="1">
                  <c:v>2015 рік</c:v>
                </c:pt>
                <c:pt idx="2">
                  <c:v>2016 рік </c:v>
                </c:pt>
                <c:pt idx="3">
                  <c:v>9 міс.2017 року</c:v>
                </c:pt>
              </c:strCache>
            </c:strRef>
          </c:cat>
          <c:val>
            <c:numRef>
              <c:f>Лист1!$B$31:$E$31</c:f>
              <c:numCache>
                <c:formatCode>0.0</c:formatCode>
                <c:ptCount val="4"/>
                <c:pt idx="0" formatCode="General">
                  <c:v>59.2</c:v>
                </c:pt>
                <c:pt idx="1">
                  <c:v>59</c:v>
                </c:pt>
                <c:pt idx="2" formatCode="General">
                  <c:v>59.1</c:v>
                </c:pt>
                <c:pt idx="3" formatCode="General">
                  <c:v>59.2</c:v>
                </c:pt>
              </c:numCache>
            </c:numRef>
          </c:val>
        </c:ser>
        <c:dLbls>
          <c:showLegendKey val="0"/>
          <c:showVal val="0"/>
          <c:showCatName val="0"/>
          <c:showSerName val="0"/>
          <c:showPercent val="0"/>
          <c:showBubbleSize val="0"/>
        </c:dLbls>
        <c:gapWidth val="150"/>
        <c:shape val="box"/>
        <c:axId val="509801752"/>
        <c:axId val="509795480"/>
        <c:axId val="0"/>
      </c:bar3DChart>
      <c:catAx>
        <c:axId val="509801752"/>
        <c:scaling>
          <c:orientation val="minMax"/>
        </c:scaling>
        <c:delete val="0"/>
        <c:axPos val="b"/>
        <c:numFmt formatCode="General" sourceLinked="1"/>
        <c:majorTickMark val="out"/>
        <c:minorTickMark val="none"/>
        <c:tickLblPos val="nextTo"/>
        <c:txPr>
          <a:bodyPr/>
          <a:lstStyle/>
          <a:p>
            <a:pPr>
              <a:defRPr sz="900" b="1">
                <a:latin typeface="Times New Roman" pitchFamily="18" charset="0"/>
                <a:cs typeface="Times New Roman" pitchFamily="18" charset="0"/>
              </a:defRPr>
            </a:pPr>
            <a:endParaRPr lang="ru-RU"/>
          </a:p>
        </c:txPr>
        <c:crossAx val="509795480"/>
        <c:crosses val="autoZero"/>
        <c:auto val="1"/>
        <c:lblAlgn val="ctr"/>
        <c:lblOffset val="100"/>
        <c:noMultiLvlLbl val="0"/>
      </c:catAx>
      <c:valAx>
        <c:axId val="509795480"/>
        <c:scaling>
          <c:orientation val="minMax"/>
        </c:scaling>
        <c:delete val="1"/>
        <c:axPos val="l"/>
        <c:numFmt formatCode="General" sourceLinked="1"/>
        <c:majorTickMark val="out"/>
        <c:minorTickMark val="none"/>
        <c:tickLblPos val="none"/>
        <c:crossAx val="509801752"/>
        <c:crosses val="autoZero"/>
        <c:crossBetween val="between"/>
      </c:valAx>
    </c:plotArea>
    <c:plotVisOnly val="1"/>
    <c:dispBlanksAs val="gap"/>
    <c:showDLblsOverMax val="0"/>
  </c:chart>
  <c:spPr>
    <a:ln>
      <a:noFill/>
    </a:ln>
  </c:spPr>
  <c:externalData r:id="rId1">
    <c:autoUpdate val="0"/>
  </c:externalData>
</c:chartSpace>
</file>

<file path=word/charts/chart1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latin typeface="Times New Roman" pitchFamily="18" charset="0"/>
                <a:cs typeface="Times New Roman" pitchFamily="18" charset="0"/>
              </a:rPr>
              <a:t>Кількість спортсменів-переможців всеукраїнських, міжнародних змагань, осіб</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
          <c:y val="0.34542897327708466"/>
          <c:w val="1"/>
          <c:h val="0.39049226441631507"/>
        </c:manualLayout>
      </c:layout>
      <c:bar3DChart>
        <c:barDir val="col"/>
        <c:grouping val="clustered"/>
        <c:varyColors val="0"/>
        <c:ser>
          <c:idx val="0"/>
          <c:order val="0"/>
          <c:tx>
            <c:strRef>
              <c:f>Лист1!$A$33</c:f>
              <c:strCache>
                <c:ptCount val="1"/>
                <c:pt idx="0">
                  <c:v>Кількість спортсменів-переможців Всеукраїнських, міжнародних змагань,осіб</c:v>
                </c:pt>
              </c:strCache>
            </c:strRef>
          </c:tx>
          <c:invertIfNegative val="0"/>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Лист1!$B$32:$E$32</c:f>
              <c:strCache>
                <c:ptCount val="4"/>
                <c:pt idx="0">
                  <c:v>2014 рік</c:v>
                </c:pt>
                <c:pt idx="1">
                  <c:v>2015 рік</c:v>
                </c:pt>
                <c:pt idx="2">
                  <c:v>2016 рік </c:v>
                </c:pt>
                <c:pt idx="3">
                  <c:v>9 міс.2017 року</c:v>
                </c:pt>
              </c:strCache>
            </c:strRef>
          </c:cat>
          <c:val>
            <c:numRef>
              <c:f>Лист1!$B$33:$E$33</c:f>
              <c:numCache>
                <c:formatCode>General</c:formatCode>
                <c:ptCount val="4"/>
                <c:pt idx="0">
                  <c:v>190</c:v>
                </c:pt>
                <c:pt idx="1">
                  <c:v>190</c:v>
                </c:pt>
                <c:pt idx="2">
                  <c:v>195</c:v>
                </c:pt>
                <c:pt idx="3">
                  <c:v>215</c:v>
                </c:pt>
              </c:numCache>
            </c:numRef>
          </c:val>
        </c:ser>
        <c:dLbls>
          <c:showLegendKey val="0"/>
          <c:showVal val="0"/>
          <c:showCatName val="0"/>
          <c:showSerName val="0"/>
          <c:showPercent val="0"/>
          <c:showBubbleSize val="0"/>
        </c:dLbls>
        <c:gapWidth val="150"/>
        <c:shape val="cylinder"/>
        <c:axId val="509795872"/>
        <c:axId val="509801360"/>
        <c:axId val="0"/>
      </c:bar3DChart>
      <c:catAx>
        <c:axId val="509795872"/>
        <c:scaling>
          <c:orientation val="minMax"/>
        </c:scaling>
        <c:delete val="0"/>
        <c:axPos val="b"/>
        <c:numFmt formatCode="General" sourceLinked="1"/>
        <c:majorTickMark val="out"/>
        <c:minorTickMark val="none"/>
        <c:tickLblPos val="nextTo"/>
        <c:txPr>
          <a:bodyPr/>
          <a:lstStyle/>
          <a:p>
            <a:pPr>
              <a:defRPr sz="900" b="1">
                <a:latin typeface="Times New Roman" pitchFamily="18" charset="0"/>
                <a:cs typeface="Times New Roman" pitchFamily="18" charset="0"/>
              </a:defRPr>
            </a:pPr>
            <a:endParaRPr lang="ru-RU"/>
          </a:p>
        </c:txPr>
        <c:crossAx val="509801360"/>
        <c:crosses val="autoZero"/>
        <c:auto val="1"/>
        <c:lblAlgn val="ctr"/>
        <c:lblOffset val="100"/>
        <c:noMultiLvlLbl val="0"/>
      </c:catAx>
      <c:valAx>
        <c:axId val="509801360"/>
        <c:scaling>
          <c:orientation val="minMax"/>
        </c:scaling>
        <c:delete val="1"/>
        <c:axPos val="l"/>
        <c:numFmt formatCode="General" sourceLinked="1"/>
        <c:majorTickMark val="out"/>
        <c:minorTickMark val="none"/>
        <c:tickLblPos val="none"/>
        <c:crossAx val="509795872"/>
        <c:crosses val="autoZero"/>
        <c:crossBetween val="between"/>
      </c:valAx>
    </c:plotArea>
    <c:plotVisOnly val="1"/>
    <c:dispBlanksAs val="gap"/>
    <c:showDLblsOverMax val="0"/>
  </c:chart>
  <c:spPr>
    <a:ln>
      <a:noFill/>
    </a:ln>
  </c:spPr>
  <c:externalData r:id="rId1">
    <c:autoUpdate val="0"/>
  </c:externalData>
</c:chartSpace>
</file>

<file path=word/charts/chart1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latin typeface="Times New Roman" pitchFamily="18" charset="0"/>
              <a:cs typeface="Times New Roman" pitchFamily="18" charset="0"/>
            </a:defRPr>
          </a:pPr>
          <a:endParaRPr lang="ru-RU"/>
        </a:p>
      </c:txPr>
    </c:title>
    <c:autoTitleDeleted val="0"/>
    <c:view3D>
      <c:rotX val="15"/>
      <c:rotY val="20"/>
      <c:rAngAx val="1"/>
    </c:view3D>
    <c:floor>
      <c:thickness val="0"/>
    </c:floor>
    <c:sideWall>
      <c:thickness val="0"/>
    </c:sideWall>
    <c:backWall>
      <c:thickness val="0"/>
    </c:backWall>
    <c:plotArea>
      <c:layout>
        <c:manualLayout>
          <c:layoutTarget val="inner"/>
          <c:xMode val="edge"/>
          <c:yMode val="edge"/>
          <c:x val="0"/>
          <c:y val="0.34225850340136055"/>
          <c:w val="1"/>
          <c:h val="0.55466666666666653"/>
        </c:manualLayout>
      </c:layout>
      <c:bar3DChart>
        <c:barDir val="col"/>
        <c:grouping val="clustered"/>
        <c:varyColors val="0"/>
        <c:ser>
          <c:idx val="0"/>
          <c:order val="0"/>
          <c:tx>
            <c:strRef>
              <c:f>Лист1!$A$41</c:f>
              <c:strCache>
                <c:ptCount val="1"/>
                <c:pt idx="0">
                  <c:v>Кількість проведених заходів спортивного спрямування, од.</c:v>
                </c:pt>
              </c:strCache>
            </c:strRef>
          </c:tx>
          <c:invertIfNegative val="0"/>
          <c:dLbls>
            <c:dLbl>
              <c:idx val="0"/>
              <c:layout>
                <c:manualLayout>
                  <c:x val="1.3468013468013467E-2"/>
                  <c:y val="-2.973977695167287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0101010101010105E-2"/>
                  <c:y val="-2.973977695167287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3670033670034154E-3"/>
                  <c:y val="-2.4783147459728049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0101010101010105E-2"/>
                  <c:y val="-3.469640644361834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Лист1!$B$40:$E$40</c:f>
              <c:strCache>
                <c:ptCount val="4"/>
                <c:pt idx="0">
                  <c:v>2014 рік</c:v>
                </c:pt>
                <c:pt idx="1">
                  <c:v>2015 рік</c:v>
                </c:pt>
                <c:pt idx="2">
                  <c:v>2016 рік </c:v>
                </c:pt>
                <c:pt idx="3">
                  <c:v>9 міс.2017 року</c:v>
                </c:pt>
              </c:strCache>
            </c:strRef>
          </c:cat>
          <c:val>
            <c:numRef>
              <c:f>Лист1!$B$41:$E$41</c:f>
              <c:numCache>
                <c:formatCode>General</c:formatCode>
                <c:ptCount val="4"/>
                <c:pt idx="0">
                  <c:v>89</c:v>
                </c:pt>
                <c:pt idx="1">
                  <c:v>105</c:v>
                </c:pt>
                <c:pt idx="2">
                  <c:v>233</c:v>
                </c:pt>
                <c:pt idx="3">
                  <c:v>240</c:v>
                </c:pt>
              </c:numCache>
            </c:numRef>
          </c:val>
        </c:ser>
        <c:dLbls>
          <c:showLegendKey val="0"/>
          <c:showVal val="0"/>
          <c:showCatName val="0"/>
          <c:showSerName val="0"/>
          <c:showPercent val="0"/>
          <c:showBubbleSize val="0"/>
        </c:dLbls>
        <c:gapWidth val="150"/>
        <c:shape val="box"/>
        <c:axId val="509796264"/>
        <c:axId val="509800184"/>
        <c:axId val="0"/>
      </c:bar3DChart>
      <c:catAx>
        <c:axId val="509796264"/>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509800184"/>
        <c:crosses val="autoZero"/>
        <c:auto val="1"/>
        <c:lblAlgn val="ctr"/>
        <c:lblOffset val="100"/>
        <c:noMultiLvlLbl val="0"/>
      </c:catAx>
      <c:valAx>
        <c:axId val="509800184"/>
        <c:scaling>
          <c:orientation val="minMax"/>
        </c:scaling>
        <c:delete val="1"/>
        <c:axPos val="l"/>
        <c:numFmt formatCode="General" sourceLinked="1"/>
        <c:majorTickMark val="out"/>
        <c:minorTickMark val="none"/>
        <c:tickLblPos val="none"/>
        <c:crossAx val="509796264"/>
        <c:crosses val="autoZero"/>
        <c:crossBetween val="between"/>
      </c:valAx>
    </c:plotArea>
    <c:plotVisOnly val="1"/>
    <c:dispBlanksAs val="gap"/>
    <c:showDLblsOverMax val="0"/>
  </c:chart>
  <c:spPr>
    <a:ln>
      <a:noFill/>
    </a:ln>
  </c:spPr>
  <c:externalData r:id="rId1">
    <c:autoUpdate val="0"/>
  </c:externalData>
</c:chartSpace>
</file>

<file path=word/charts/chart1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latin typeface="Times New Roman" pitchFamily="18" charset="0"/>
              <a:cs typeface="Times New Roman" pitchFamily="18" charset="0"/>
            </a:defRPr>
          </a:pPr>
          <a:endParaRPr lang="ru-RU"/>
        </a:p>
      </c:txPr>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Лист1!$A$43</c:f>
              <c:strCache>
                <c:ptCount val="1"/>
                <c:pt idx="0">
                  <c:v>Кількість осіб, охоплених заходами спортивного спрямування, тис.осіб</c:v>
                </c:pt>
              </c:strCache>
            </c:strRef>
          </c:tx>
          <c:invertIfNegative val="0"/>
          <c:dLbls>
            <c:dLbl>
              <c:idx val="0"/>
              <c:layout>
                <c:manualLayout>
                  <c:x val="6.5359477124183997E-3"/>
                  <c:y val="-1.50943396226415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5359477124183997E-3"/>
                  <c:y val="-2.515723270440255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
                  <c:y val="-1.509433962264151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9607843137254902E-2"/>
                  <c:y val="-1.0062893081761009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Лист1!$B$42:$E$42</c:f>
              <c:strCache>
                <c:ptCount val="4"/>
                <c:pt idx="0">
                  <c:v>2014 рік</c:v>
                </c:pt>
                <c:pt idx="1">
                  <c:v>2015 рік</c:v>
                </c:pt>
                <c:pt idx="2">
                  <c:v>2016 рік </c:v>
                </c:pt>
                <c:pt idx="3">
                  <c:v>9 міс.2017 року</c:v>
                </c:pt>
              </c:strCache>
            </c:strRef>
          </c:cat>
          <c:val>
            <c:numRef>
              <c:f>Лист1!$B$43:$E$43</c:f>
              <c:numCache>
                <c:formatCode>General</c:formatCode>
                <c:ptCount val="4"/>
                <c:pt idx="0">
                  <c:v>11.7</c:v>
                </c:pt>
                <c:pt idx="1">
                  <c:v>13.7</c:v>
                </c:pt>
                <c:pt idx="2" formatCode="0.0">
                  <c:v>30</c:v>
                </c:pt>
                <c:pt idx="3" formatCode="0.0">
                  <c:v>32</c:v>
                </c:pt>
              </c:numCache>
            </c:numRef>
          </c:val>
        </c:ser>
        <c:dLbls>
          <c:showLegendKey val="0"/>
          <c:showVal val="0"/>
          <c:showCatName val="0"/>
          <c:showSerName val="0"/>
          <c:showPercent val="0"/>
          <c:showBubbleSize val="0"/>
        </c:dLbls>
        <c:gapWidth val="150"/>
        <c:shape val="cylinder"/>
        <c:axId val="509799792"/>
        <c:axId val="509802536"/>
        <c:axId val="0"/>
      </c:bar3DChart>
      <c:catAx>
        <c:axId val="509799792"/>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509802536"/>
        <c:crosses val="autoZero"/>
        <c:auto val="1"/>
        <c:lblAlgn val="ctr"/>
        <c:lblOffset val="100"/>
        <c:noMultiLvlLbl val="0"/>
      </c:catAx>
      <c:valAx>
        <c:axId val="509802536"/>
        <c:scaling>
          <c:orientation val="minMax"/>
        </c:scaling>
        <c:delete val="1"/>
        <c:axPos val="l"/>
        <c:numFmt formatCode="General" sourceLinked="1"/>
        <c:majorTickMark val="out"/>
        <c:minorTickMark val="none"/>
        <c:tickLblPos val="none"/>
        <c:crossAx val="509799792"/>
        <c:crosses val="autoZero"/>
        <c:crossBetween val="between"/>
      </c:valAx>
    </c:plotArea>
    <c:plotVisOnly val="1"/>
    <c:dispBlanksAs val="gap"/>
    <c:showDLblsOverMax val="0"/>
  </c:chart>
  <c:spPr>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manualLayout>
          <c:xMode val="edge"/>
          <c:yMode val="edge"/>
          <c:x val="0.16728291776027995"/>
          <c:y val="0"/>
        </c:manualLayout>
      </c:layout>
      <c:overlay val="0"/>
      <c:txPr>
        <a:bodyPr/>
        <a:lstStyle/>
        <a:p>
          <a:pPr>
            <a:defRPr sz="1200">
              <a:latin typeface="Times New Roman" pitchFamily="18" charset="0"/>
              <a:cs typeface="Times New Roman" pitchFamily="18" charset="0"/>
            </a:defRPr>
          </a:pPr>
          <a:endParaRPr lang="ru-RU"/>
        </a:p>
      </c:txPr>
    </c:title>
    <c:autoTitleDeleted val="0"/>
    <c:view3D>
      <c:rotX val="15"/>
      <c:rotY val="20"/>
      <c:rAngAx val="1"/>
    </c:view3D>
    <c:floor>
      <c:thickness val="0"/>
    </c:floor>
    <c:sideWall>
      <c:thickness val="0"/>
    </c:sideWall>
    <c:backWall>
      <c:thickness val="0"/>
    </c:backWall>
    <c:plotArea>
      <c:layout>
        <c:manualLayout>
          <c:layoutTarget val="inner"/>
          <c:xMode val="edge"/>
          <c:yMode val="edge"/>
          <c:x val="0"/>
          <c:y val="0.2156996587030717"/>
          <c:w val="0.90728476821191228"/>
          <c:h val="0.56286689419794567"/>
        </c:manualLayout>
      </c:layout>
      <c:bar3DChart>
        <c:barDir val="col"/>
        <c:grouping val="clustered"/>
        <c:varyColors val="0"/>
        <c:ser>
          <c:idx val="0"/>
          <c:order val="0"/>
          <c:tx>
            <c:strRef>
              <c:f>Лист1!$A$2</c:f>
              <c:strCache>
                <c:ptCount val="1"/>
                <c:pt idx="0">
                  <c:v>Обсяг реалізованої промислової продукції у діючих цінах, млн. грн.</c:v>
                </c:pt>
              </c:strCache>
            </c:strRef>
          </c:tx>
          <c:spPr>
            <a:ln>
              <a:noFill/>
            </a:ln>
          </c:spPr>
          <c:invertIfNegative val="0"/>
          <c:dLbls>
            <c:dLbl>
              <c:idx val="0"/>
              <c:layout>
                <c:manualLayout>
                  <c:x val="1.3888888888889126E-2"/>
                  <c:y val="-4.166666666666666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3888888888889126E-2"/>
                  <c:y val="-2.777777777777855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222222222222251E-2"/>
                  <c:y val="-3.2407407407408016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2222222222222442E-2"/>
                  <c:y val="-4.166666666666666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Лист1!$A$4:$A$7</c:f>
              <c:strCache>
                <c:ptCount val="4"/>
                <c:pt idx="0">
                  <c:v>2014 рік </c:v>
                </c:pt>
                <c:pt idx="1">
                  <c:v>2015 рік</c:v>
                </c:pt>
                <c:pt idx="2">
                  <c:v>2016 рік</c:v>
                </c:pt>
                <c:pt idx="3">
                  <c:v>8 міс. 2017 року</c:v>
                </c:pt>
              </c:strCache>
            </c:strRef>
          </c:cat>
          <c:val>
            <c:numRef>
              <c:f>Лист1!$B$4:$B$7</c:f>
              <c:numCache>
                <c:formatCode>General</c:formatCode>
                <c:ptCount val="4"/>
                <c:pt idx="0">
                  <c:v>8008.9</c:v>
                </c:pt>
                <c:pt idx="1">
                  <c:v>10845.1</c:v>
                </c:pt>
                <c:pt idx="2">
                  <c:v>12920.8</c:v>
                </c:pt>
                <c:pt idx="3" formatCode="0.0">
                  <c:v>8661.2999999999811</c:v>
                </c:pt>
              </c:numCache>
            </c:numRef>
          </c:val>
        </c:ser>
        <c:dLbls>
          <c:showLegendKey val="0"/>
          <c:showVal val="0"/>
          <c:showCatName val="0"/>
          <c:showSerName val="0"/>
          <c:showPercent val="0"/>
          <c:showBubbleSize val="0"/>
        </c:dLbls>
        <c:gapWidth val="150"/>
        <c:shape val="cylinder"/>
        <c:axId val="423751304"/>
        <c:axId val="423748168"/>
        <c:axId val="0"/>
      </c:bar3DChart>
      <c:catAx>
        <c:axId val="423751304"/>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423748168"/>
        <c:crosses val="autoZero"/>
        <c:auto val="1"/>
        <c:lblAlgn val="ctr"/>
        <c:lblOffset val="100"/>
        <c:noMultiLvlLbl val="0"/>
      </c:catAx>
      <c:valAx>
        <c:axId val="423748168"/>
        <c:scaling>
          <c:orientation val="minMax"/>
        </c:scaling>
        <c:delete val="1"/>
        <c:axPos val="l"/>
        <c:majorGridlines>
          <c:spPr>
            <a:ln>
              <a:noFill/>
            </a:ln>
          </c:spPr>
        </c:majorGridlines>
        <c:numFmt formatCode="General" sourceLinked="1"/>
        <c:majorTickMark val="out"/>
        <c:minorTickMark val="none"/>
        <c:tickLblPos val="none"/>
        <c:crossAx val="423751304"/>
        <c:crosses val="autoZero"/>
        <c:crossBetween val="between"/>
      </c:valAx>
    </c:plotArea>
    <c:plotVisOnly val="1"/>
    <c:dispBlanksAs val="gap"/>
    <c:showDLblsOverMax val="0"/>
  </c:chart>
  <c:spPr>
    <a:ln>
      <a:noFill/>
    </a:ln>
  </c:sp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Структура обсягу реалізації промислової продукції за основними видами діяльності, %</a:t>
            </a:r>
          </a:p>
        </c:rich>
      </c:tx>
      <c:layout>
        <c:manualLayout>
          <c:xMode val="edge"/>
          <c:yMode val="edge"/>
          <c:x val="0.15748229273538936"/>
          <c:y val="4.3116948319486927E-3"/>
        </c:manualLayout>
      </c:layout>
      <c:overlay val="0"/>
    </c:title>
    <c:autoTitleDeleted val="0"/>
    <c:plotArea>
      <c:layout>
        <c:manualLayout>
          <c:layoutTarget val="inner"/>
          <c:xMode val="edge"/>
          <c:yMode val="edge"/>
          <c:x val="0.20766068539833943"/>
          <c:y val="0.28766419067449917"/>
          <c:w val="0.38959257752355947"/>
          <c:h val="0.45941194942342839"/>
        </c:manualLayout>
      </c:layout>
      <c:pieChart>
        <c:varyColors val="1"/>
        <c:ser>
          <c:idx val="0"/>
          <c:order val="0"/>
          <c:explosion val="3"/>
          <c:dLbls>
            <c:dLbl>
              <c:idx val="0"/>
              <c:layout>
                <c:manualLayout>
                  <c:x val="-6.5040008296835233E-2"/>
                  <c:y val="-7.1248069831688033E-3"/>
                </c:manualLayout>
              </c:layout>
              <c:tx>
                <c:rich>
                  <a:bodyPr/>
                  <a:lstStyle/>
                  <a:p>
                    <a:pPr>
                      <a:defRPr sz="900" b="1"/>
                    </a:pPr>
                    <a:r>
                      <a:rPr lang="ru-RU" sz="900"/>
                      <a:t>В</a:t>
                    </a:r>
                    <a:r>
                      <a:rPr lang="ru-RU"/>
                      <a:t>иробництво харчових продуктів, </a:t>
                    </a:r>
                    <a:r>
                      <a:rPr lang="ru-RU" sz="900"/>
                      <a:t>напоїв</a:t>
                    </a:r>
                    <a:r>
                      <a:rPr lang="ru-RU"/>
                      <a:t> та тютюнових виробів; 21,9</a:t>
                    </a:r>
                  </a:p>
                </c:rich>
              </c:tx>
              <c:spPr/>
              <c:showLegendKey val="0"/>
              <c:showVal val="1"/>
              <c:showCatName val="1"/>
              <c:showSerName val="0"/>
              <c:showPercent val="0"/>
              <c:showBubbleSize val="0"/>
              <c:extLst>
                <c:ext xmlns:c15="http://schemas.microsoft.com/office/drawing/2012/chart" uri="{CE6537A1-D6FC-4f65-9D91-7224C49458BB}"/>
              </c:extLst>
            </c:dLbl>
            <c:dLbl>
              <c:idx val="1"/>
              <c:layout>
                <c:manualLayout>
                  <c:x val="4.3117532155727424E-2"/>
                  <c:y val="-0.16694788394089638"/>
                </c:manualLayout>
              </c:layout>
              <c:spPr/>
              <c:txPr>
                <a:bodyPr/>
                <a:lstStyle/>
                <a:p>
                  <a:pPr>
                    <a:defRPr sz="900" b="1"/>
                  </a:pPr>
                  <a:endParaRPr lang="ru-RU"/>
                </a:p>
              </c:txPr>
              <c:showLegendKey val="0"/>
              <c:showVal val="1"/>
              <c:showCatName val="1"/>
              <c:showSerName val="0"/>
              <c:showPercent val="0"/>
              <c:showBubbleSize val="0"/>
              <c:extLst>
                <c:ext xmlns:c15="http://schemas.microsoft.com/office/drawing/2012/chart" uri="{CE6537A1-D6FC-4f65-9D91-7224C49458BB}"/>
              </c:extLst>
            </c:dLbl>
            <c:dLbl>
              <c:idx val="2"/>
              <c:layout>
                <c:manualLayout>
                  <c:x val="4.0678585389592258E-2"/>
                  <c:y val="-5.6322814641188733E-2"/>
                </c:manualLayout>
              </c:layout>
              <c:spPr/>
              <c:txPr>
                <a:bodyPr/>
                <a:lstStyle/>
                <a:p>
                  <a:pPr>
                    <a:defRPr sz="900" b="1"/>
                  </a:pPr>
                  <a:endParaRPr lang="ru-RU"/>
                </a:p>
              </c:txPr>
              <c:showLegendKey val="0"/>
              <c:showVal val="1"/>
              <c:showCatName val="1"/>
              <c:showSerName val="0"/>
              <c:showPercent val="0"/>
              <c:showBubbleSize val="0"/>
              <c:extLst>
                <c:ext xmlns:c15="http://schemas.microsoft.com/office/drawing/2012/chart" uri="{CE6537A1-D6FC-4f65-9D91-7224C49458BB}"/>
              </c:extLst>
            </c:dLbl>
            <c:dLbl>
              <c:idx val="3"/>
              <c:spPr/>
              <c:txPr>
                <a:bodyPr/>
                <a:lstStyle/>
                <a:p>
                  <a:pPr>
                    <a:defRPr sz="900" b="1"/>
                  </a:pPr>
                  <a:endParaRPr lang="ru-RU"/>
                </a:p>
              </c:txPr>
              <c:showLegendKey val="0"/>
              <c:showVal val="1"/>
              <c:showCatName val="1"/>
              <c:showSerName val="0"/>
              <c:showPercent val="0"/>
              <c:showBubbleSize val="0"/>
            </c:dLbl>
            <c:dLbl>
              <c:idx val="4"/>
              <c:layout>
                <c:manualLayout>
                  <c:x val="-1.5990265870407406E-2"/>
                  <c:y val="8.3870930037428043E-2"/>
                </c:manualLayout>
              </c:layout>
              <c:tx>
                <c:rich>
                  <a:bodyPr/>
                  <a:lstStyle/>
                  <a:p>
                    <a:pPr>
                      <a:defRPr sz="900" b="1"/>
                    </a:pPr>
                    <a:r>
                      <a:rPr lang="ru-RU" sz="900" b="1"/>
                      <a:t>В</a:t>
                    </a:r>
                    <a:r>
                      <a:rPr lang="ru-RU" b="1"/>
                      <a:t>иробництво гумових і пластмасових виробів; 7,4</a:t>
                    </a:r>
                  </a:p>
                </c:rich>
              </c:tx>
              <c:spPr/>
              <c:showLegendKey val="0"/>
              <c:showVal val="1"/>
              <c:showCatName val="1"/>
              <c:showSerName val="0"/>
              <c:showPercent val="0"/>
              <c:showBubbleSize val="0"/>
              <c:extLst>
                <c:ext xmlns:c15="http://schemas.microsoft.com/office/drawing/2012/chart" uri="{CE6537A1-D6FC-4f65-9D91-7224C49458BB}"/>
              </c:extLst>
            </c:dLbl>
            <c:dLbl>
              <c:idx val="5"/>
              <c:layout>
                <c:manualLayout>
                  <c:x val="-0.12642956864434488"/>
                  <c:y val="3.9021808479514537E-2"/>
                </c:manualLayout>
              </c:layout>
              <c:tx>
                <c:rich>
                  <a:bodyPr/>
                  <a:lstStyle/>
                  <a:p>
                    <a:pPr>
                      <a:defRPr sz="900" b="1"/>
                    </a:pPr>
                    <a:r>
                      <a:rPr lang="ru-RU" sz="900"/>
                      <a:t>М</a:t>
                    </a:r>
                    <a:r>
                      <a:rPr lang="ru-RU"/>
                      <a:t>еталургійне виробництво ; 7,8</a:t>
                    </a:r>
                  </a:p>
                </c:rich>
              </c:tx>
              <c:spPr/>
              <c:showLegendKey val="0"/>
              <c:showVal val="1"/>
              <c:showCatName val="1"/>
              <c:showSerName val="0"/>
              <c:showPercent val="0"/>
              <c:showBubbleSize val="0"/>
              <c:extLst>
                <c:ext xmlns:c15="http://schemas.microsoft.com/office/drawing/2012/chart" uri="{CE6537A1-D6FC-4f65-9D91-7224C49458BB}"/>
              </c:extLst>
            </c:dLbl>
            <c:dLbl>
              <c:idx val="6"/>
              <c:layout>
                <c:manualLayout>
                  <c:x val="-0.27664791901012376"/>
                  <c:y val="1.1384865072133509E-3"/>
                </c:manualLayout>
              </c:layout>
              <c:tx>
                <c:rich>
                  <a:bodyPr/>
                  <a:lstStyle/>
                  <a:p>
                    <a:pPr>
                      <a:defRPr sz="900" b="1"/>
                    </a:pPr>
                    <a:r>
                      <a:rPr lang="ru-RU" sz="900" b="1"/>
                      <a:t>М</a:t>
                    </a:r>
                    <a:r>
                      <a:rPr lang="ru-RU" b="1"/>
                      <a:t>ашинобудування; 1,0</a:t>
                    </a:r>
                  </a:p>
                </c:rich>
              </c:tx>
              <c:spPr/>
              <c:showLegendKey val="0"/>
              <c:showVal val="1"/>
              <c:showCatName val="1"/>
              <c:showSerName val="0"/>
              <c:showPercent val="0"/>
              <c:showBubbleSize val="0"/>
              <c:extLst>
                <c:ext xmlns:c15="http://schemas.microsoft.com/office/drawing/2012/chart" uri="{CE6537A1-D6FC-4f65-9D91-7224C49458BB}"/>
              </c:extLst>
            </c:dLbl>
            <c:dLbl>
              <c:idx val="7"/>
              <c:spPr/>
              <c:txPr>
                <a:bodyPr/>
                <a:lstStyle/>
                <a:p>
                  <a:pPr>
                    <a:defRPr sz="900" b="1"/>
                  </a:pPr>
                  <a:endParaRPr lang="ru-RU"/>
                </a:p>
              </c:txPr>
              <c:showLegendKey val="0"/>
              <c:showVal val="1"/>
              <c:showCatName val="1"/>
              <c:showSerName val="0"/>
              <c:showPercent val="0"/>
              <c:showBubbleSize val="0"/>
            </c:dLbl>
            <c:dLbl>
              <c:idx val="8"/>
              <c:layout>
                <c:manualLayout>
                  <c:x val="-0.23676878156188247"/>
                  <c:y val="7.2031708288561827E-2"/>
                </c:manualLayout>
              </c:layout>
              <c:spPr/>
              <c:txPr>
                <a:bodyPr/>
                <a:lstStyle/>
                <a:p>
                  <a:pPr>
                    <a:defRPr sz="900" b="1"/>
                  </a:pPr>
                  <a:endParaRPr lang="ru-RU"/>
                </a:p>
              </c:txPr>
              <c:showLegendKey val="0"/>
              <c:showVal val="1"/>
              <c:showCatName val="1"/>
              <c:showSerName val="0"/>
              <c:showPercent val="0"/>
              <c:showBubbleSize val="0"/>
              <c:extLst>
                <c:ext xmlns:c15="http://schemas.microsoft.com/office/drawing/2012/chart" uri="{CE6537A1-D6FC-4f65-9D91-7224C49458BB}"/>
              </c:extLst>
            </c:dLbl>
            <c:spPr>
              <a:noFill/>
              <a:ln>
                <a:noFill/>
              </a:ln>
              <a:effectLst/>
            </c:spPr>
            <c:txPr>
              <a:bodyPr/>
              <a:lstStyle/>
              <a:p>
                <a:pPr>
                  <a:defRPr sz="900"/>
                </a:pPr>
                <a:endParaRPr lang="ru-RU"/>
              </a:p>
            </c:txPr>
            <c:showLegendKey val="0"/>
            <c:showVal val="1"/>
            <c:showCatName val="1"/>
            <c:showSerName val="0"/>
            <c:showPercent val="0"/>
            <c:showBubbleSize val="0"/>
            <c:showLeaderLines val="1"/>
            <c:extLst>
              <c:ext xmlns:c15="http://schemas.microsoft.com/office/drawing/2012/chart" uri="{CE6537A1-D6FC-4f65-9D91-7224C49458BB}"/>
            </c:extLst>
          </c:dLbls>
          <c:cat>
            <c:strRef>
              <c:f>Лист1!$A$177:$A$185</c:f>
              <c:strCache>
                <c:ptCount val="9"/>
                <c:pt idx="0">
                  <c:v>Виробництво харчових продуктів, напоїв та тютюнових виробів</c:v>
                </c:pt>
                <c:pt idx="1">
                  <c:v>Текстильне виробництво, виробництво одягу, шкіри, виробів зі шкіри та інших матеріалів</c:v>
                </c:pt>
                <c:pt idx="2">
                  <c:v>Виготовлення виробів з деревини, виробництво паперу та поліграфічна продукція</c:v>
                </c:pt>
                <c:pt idx="3">
                  <c:v>Виробництво хімічних речовин та хімічної продукції, </c:v>
                </c:pt>
                <c:pt idx="4">
                  <c:v>Виробництво гумових і пластмасових виробів, іншої неметалевої мінеральної продукції</c:v>
                </c:pt>
                <c:pt idx="5">
                  <c:v>Металургійне виробництво, виробництво готових металевих виробів крім машин і устаткування</c:v>
                </c:pt>
                <c:pt idx="6">
                  <c:v>Машинобудування, крім ремонту і монтажу машин і устатковання</c:v>
                </c:pt>
                <c:pt idx="7">
                  <c:v>Постачання електроенергії, газу, пари та кондиційованого повітря</c:v>
                </c:pt>
                <c:pt idx="8">
                  <c:v>Водопостачання; каналізація, поводження з відходами</c:v>
                </c:pt>
              </c:strCache>
            </c:strRef>
          </c:cat>
          <c:val>
            <c:numRef>
              <c:f>Лист1!$B$177:$B$185</c:f>
              <c:numCache>
                <c:formatCode>General</c:formatCode>
                <c:ptCount val="9"/>
                <c:pt idx="0">
                  <c:v>23.1</c:v>
                </c:pt>
                <c:pt idx="1">
                  <c:v>6.8</c:v>
                </c:pt>
                <c:pt idx="2">
                  <c:v>4.2</c:v>
                </c:pt>
                <c:pt idx="3">
                  <c:v>0.9</c:v>
                </c:pt>
                <c:pt idx="4">
                  <c:v>7.7</c:v>
                </c:pt>
                <c:pt idx="5">
                  <c:v>7.8</c:v>
                </c:pt>
                <c:pt idx="6" formatCode="0.0">
                  <c:v>1.1000000000000001</c:v>
                </c:pt>
                <c:pt idx="7">
                  <c:v>42.5</c:v>
                </c:pt>
                <c:pt idx="8" formatCode="0.0">
                  <c:v>2</c:v>
                </c:pt>
              </c:numCache>
            </c:numRef>
          </c:val>
        </c:ser>
        <c:dLbls>
          <c:showLegendKey val="0"/>
          <c:showVal val="0"/>
          <c:showCatName val="0"/>
          <c:showSerName val="0"/>
          <c:showPercent val="0"/>
          <c:showBubbleSize val="0"/>
          <c:showLeaderLines val="1"/>
        </c:dLbls>
        <c:firstSliceAng val="0"/>
      </c:pieChart>
    </c:plotArea>
    <c:plotVisOnly val="1"/>
    <c:dispBlanksAs val="zero"/>
    <c:showDLblsOverMax val="0"/>
  </c:chart>
  <c:spPr>
    <a:ln>
      <a:noFill/>
    </a:ln>
  </c:sp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explosion val="8"/>
          <c:dPt>
            <c:idx val="0"/>
            <c:bubble3D val="0"/>
            <c:explosion val="2"/>
          </c:dPt>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Лист1!$A$259:$A$261</c:f>
              <c:strCache>
                <c:ptCount val="3"/>
                <c:pt idx="0">
                  <c:v>Будівлі житлові</c:v>
                </c:pt>
                <c:pt idx="1">
                  <c:v>Будівлі нежитлові</c:v>
                </c:pt>
                <c:pt idx="2">
                  <c:v>Інженерні споруди</c:v>
                </c:pt>
              </c:strCache>
            </c:strRef>
          </c:cat>
          <c:val>
            <c:numRef>
              <c:f>Лист1!$B$259:$B$261</c:f>
              <c:numCache>
                <c:formatCode>General</c:formatCode>
                <c:ptCount val="3"/>
                <c:pt idx="0">
                  <c:v>17.7</c:v>
                </c:pt>
                <c:pt idx="1">
                  <c:v>40.700000000000003</c:v>
                </c:pt>
                <c:pt idx="2">
                  <c:v>41.6</c:v>
                </c:pt>
              </c:numCache>
            </c:numRef>
          </c:val>
        </c:ser>
        <c:dLbls>
          <c:showLegendKey val="0"/>
          <c:showVal val="0"/>
          <c:showCatName val="0"/>
          <c:showSerName val="0"/>
          <c:showPercent val="0"/>
          <c:showBubbleSize val="0"/>
          <c:showLeaderLines val="1"/>
        </c:dLbls>
        <c:firstSliceAng val="0"/>
        <c:holeSize val="50"/>
      </c:doughnutChart>
    </c:plotArea>
    <c:legend>
      <c:legendPos val="r"/>
      <c:overlay val="0"/>
      <c:txPr>
        <a:bodyPr/>
        <a:lstStyle/>
        <a:p>
          <a:pPr>
            <a:defRPr>
              <a:latin typeface="Times New Roman" pitchFamily="18" charset="0"/>
              <a:cs typeface="Times New Roman" pitchFamily="18" charset="0"/>
            </a:defRPr>
          </a:pPr>
          <a:endParaRPr lang="ru-RU"/>
        </a:p>
      </c:txPr>
    </c:legend>
    <c:plotVisOnly val="1"/>
    <c:dispBlanksAs val="zero"/>
    <c:showDLblsOverMax val="0"/>
  </c:chart>
  <c:spPr>
    <a:ln>
      <a:noFill/>
    </a:ln>
  </c:sp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xPr>
        <a:bodyPr/>
        <a:lstStyle/>
        <a:p>
          <a:pPr>
            <a:defRPr sz="1200">
              <a:latin typeface="Times New Roman" pitchFamily="18" charset="0"/>
              <a:cs typeface="Times New Roman" pitchFamily="18" charset="0"/>
            </a:defRPr>
          </a:pPr>
          <a:endParaRPr lang="ru-RU"/>
        </a:p>
      </c:txPr>
    </c:title>
    <c:autoTitleDeleted val="0"/>
    <c:plotArea>
      <c:layout/>
      <c:barChart>
        <c:barDir val="bar"/>
        <c:grouping val="clustered"/>
        <c:varyColors val="0"/>
        <c:ser>
          <c:idx val="0"/>
          <c:order val="0"/>
          <c:tx>
            <c:strRef>
              <c:f>Лист1!$A$12</c:f>
              <c:strCache>
                <c:ptCount val="1"/>
                <c:pt idx="0">
                  <c:v>Обсяг введеного в експлуатацію житла, тис.кв.м.</c:v>
                </c:pt>
              </c:strCache>
            </c:strRef>
          </c:tx>
          <c:invertIfNegative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Лист1!$A$14:$A$17</c:f>
              <c:strCache>
                <c:ptCount val="4"/>
                <c:pt idx="0">
                  <c:v>2014 рік </c:v>
                </c:pt>
                <c:pt idx="1">
                  <c:v>2015 рік</c:v>
                </c:pt>
                <c:pt idx="2">
                  <c:v>2016 рік</c:v>
                </c:pt>
                <c:pt idx="3">
                  <c:v>6 міс. 2017 року</c:v>
                </c:pt>
              </c:strCache>
            </c:strRef>
          </c:cat>
          <c:val>
            <c:numRef>
              <c:f>Лист1!$B$14:$B$17</c:f>
              <c:numCache>
                <c:formatCode>0.0</c:formatCode>
                <c:ptCount val="4"/>
                <c:pt idx="0" formatCode="General">
                  <c:v>24.1</c:v>
                </c:pt>
                <c:pt idx="1">
                  <c:v>44</c:v>
                </c:pt>
                <c:pt idx="2" formatCode="General">
                  <c:v>61.6</c:v>
                </c:pt>
                <c:pt idx="3" formatCode="General">
                  <c:v>26.1</c:v>
                </c:pt>
              </c:numCache>
            </c:numRef>
          </c:val>
        </c:ser>
        <c:dLbls>
          <c:showLegendKey val="0"/>
          <c:showVal val="0"/>
          <c:showCatName val="0"/>
          <c:showSerName val="0"/>
          <c:showPercent val="0"/>
          <c:showBubbleSize val="0"/>
        </c:dLbls>
        <c:gapWidth val="150"/>
        <c:axId val="423749344"/>
        <c:axId val="423749736"/>
      </c:barChart>
      <c:catAx>
        <c:axId val="423749344"/>
        <c:scaling>
          <c:orientation val="minMax"/>
        </c:scaling>
        <c:delete val="0"/>
        <c:axPos val="l"/>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423749736"/>
        <c:crosses val="autoZero"/>
        <c:auto val="1"/>
        <c:lblAlgn val="ctr"/>
        <c:lblOffset val="100"/>
        <c:noMultiLvlLbl val="0"/>
      </c:catAx>
      <c:valAx>
        <c:axId val="423749736"/>
        <c:scaling>
          <c:orientation val="minMax"/>
        </c:scaling>
        <c:delete val="1"/>
        <c:axPos val="b"/>
        <c:majorGridlines>
          <c:spPr>
            <a:ln>
              <a:noFill/>
            </a:ln>
          </c:spPr>
        </c:majorGridlines>
        <c:numFmt formatCode="General" sourceLinked="1"/>
        <c:majorTickMark val="out"/>
        <c:minorTickMark val="none"/>
        <c:tickLblPos val="none"/>
        <c:crossAx val="423749344"/>
        <c:crosses val="autoZero"/>
        <c:crossBetween val="between"/>
      </c:valAx>
    </c:plotArea>
    <c:plotVisOnly val="1"/>
    <c:dispBlanksAs val="gap"/>
    <c:showDLblsOverMax val="0"/>
  </c:chart>
  <c:spPr>
    <a:ln>
      <a:noFill/>
    </a:ln>
  </c:sp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uk-UA" sz="1200">
                <a:latin typeface="Times New Roman" pitchFamily="18" charset="0"/>
                <a:cs typeface="Times New Roman" pitchFamily="18" charset="0"/>
              </a:rPr>
              <a:t>Обсяг</a:t>
            </a:r>
            <a:r>
              <a:rPr lang="uk-UA" sz="1200" baseline="0">
                <a:latin typeface="Times New Roman" pitchFamily="18" charset="0"/>
                <a:cs typeface="Times New Roman" pitchFamily="18" charset="0"/>
              </a:rPr>
              <a:t> введеного в експлуатацію житла загальної площі на 10 тис. нас., кв.м.</a:t>
            </a:r>
            <a:endParaRPr lang="uk-UA" sz="1200">
              <a:latin typeface="Times New Roman" pitchFamily="18" charset="0"/>
              <a:cs typeface="Times New Roman" pitchFamily="18" charset="0"/>
            </a:endParaRPr>
          </a:p>
        </c:rich>
      </c:tx>
      <c:layout>
        <c:manualLayout>
          <c:xMode val="edge"/>
          <c:yMode val="edge"/>
          <c:x val="0.12377981651376145"/>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1.1977172578198361E-3"/>
          <c:y val="0.25798780638313634"/>
          <c:w val="0.95303272412049422"/>
          <c:h val="0.62182509317997914"/>
        </c:manualLayout>
      </c:layout>
      <c:bar3DChart>
        <c:barDir val="col"/>
        <c:grouping val="clustered"/>
        <c:varyColors val="0"/>
        <c:ser>
          <c:idx val="0"/>
          <c:order val="0"/>
          <c:invertIfNegative val="0"/>
          <c:dLbls>
            <c:dLbl>
              <c:idx val="0"/>
              <c:layout>
                <c:manualLayout>
                  <c:x val="8.3333333333333766E-3"/>
                  <c:y val="-2.777777777777847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3888888888889103E-2"/>
                  <c:y val="-1.851851851851858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5000000000000001E-2"/>
                  <c:y val="-2.3148148148148147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2222222222222202E-2"/>
                  <c:y val="-1.388888888888910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Лист1!$A$24:$A$27</c:f>
              <c:strCache>
                <c:ptCount val="4"/>
                <c:pt idx="0">
                  <c:v>2014 рік</c:v>
                </c:pt>
                <c:pt idx="1">
                  <c:v>2015 рік</c:v>
                </c:pt>
                <c:pt idx="2">
                  <c:v>2016 рік </c:v>
                </c:pt>
                <c:pt idx="3">
                  <c:v>6 міс. 2017 року</c:v>
                </c:pt>
              </c:strCache>
            </c:strRef>
          </c:cat>
          <c:val>
            <c:numRef>
              <c:f>Лист1!$B$24:$B$27</c:f>
              <c:numCache>
                <c:formatCode>0.0</c:formatCode>
                <c:ptCount val="4"/>
                <c:pt idx="0">
                  <c:v>896</c:v>
                </c:pt>
                <c:pt idx="1">
                  <c:v>1644</c:v>
                </c:pt>
                <c:pt idx="2">
                  <c:v>2313</c:v>
                </c:pt>
                <c:pt idx="3">
                  <c:v>981.3</c:v>
                </c:pt>
              </c:numCache>
            </c:numRef>
          </c:val>
        </c:ser>
        <c:dLbls>
          <c:showLegendKey val="0"/>
          <c:showVal val="0"/>
          <c:showCatName val="0"/>
          <c:showSerName val="0"/>
          <c:showPercent val="0"/>
          <c:showBubbleSize val="0"/>
        </c:dLbls>
        <c:gapWidth val="150"/>
        <c:shape val="cylinder"/>
        <c:axId val="423754048"/>
        <c:axId val="423751696"/>
        <c:axId val="0"/>
      </c:bar3DChart>
      <c:catAx>
        <c:axId val="423754048"/>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423751696"/>
        <c:crosses val="autoZero"/>
        <c:auto val="1"/>
        <c:lblAlgn val="ctr"/>
        <c:lblOffset val="100"/>
        <c:noMultiLvlLbl val="0"/>
      </c:catAx>
      <c:valAx>
        <c:axId val="423751696"/>
        <c:scaling>
          <c:orientation val="minMax"/>
        </c:scaling>
        <c:delete val="1"/>
        <c:axPos val="l"/>
        <c:majorGridlines>
          <c:spPr>
            <a:ln>
              <a:noFill/>
            </a:ln>
          </c:spPr>
        </c:majorGridlines>
        <c:numFmt formatCode="0.0" sourceLinked="1"/>
        <c:majorTickMark val="out"/>
        <c:minorTickMark val="none"/>
        <c:tickLblPos val="none"/>
        <c:crossAx val="423754048"/>
        <c:crosses val="autoZero"/>
        <c:crossBetween val="between"/>
      </c:valAx>
      <c:spPr>
        <a:noFill/>
        <a:ln w="25400">
          <a:noFill/>
        </a:ln>
      </c:spPr>
    </c:plotArea>
    <c:plotVisOnly val="1"/>
    <c:dispBlanksAs val="gap"/>
    <c:showDLblsOverMax val="0"/>
  </c:chart>
  <c:spPr>
    <a:ln>
      <a:noFill/>
    </a:ln>
  </c:sp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pPr>
            <a:r>
              <a:rPr lang="uk-UA" sz="1100">
                <a:latin typeface="Times New Roman" pitchFamily="18" charset="0"/>
                <a:cs typeface="Times New Roman" pitchFamily="18" charset="0"/>
              </a:rPr>
              <a:t>Кількість</a:t>
            </a:r>
            <a:r>
              <a:rPr lang="uk-UA" sz="1100" baseline="0">
                <a:latin typeface="Times New Roman" pitchFamily="18" charset="0"/>
                <a:cs typeface="Times New Roman" pitchFamily="18" charset="0"/>
              </a:rPr>
              <a:t> нежитлових приміщень, переданих в оренду, од.</a:t>
            </a:r>
            <a:endParaRPr lang="uk-UA" sz="1100">
              <a:latin typeface="Times New Roman" pitchFamily="18" charset="0"/>
              <a:cs typeface="Times New Roman" pitchFamily="18" charset="0"/>
            </a:endParaRPr>
          </a:p>
        </c:rich>
      </c:tx>
      <c:layout>
        <c:manualLayout>
          <c:xMode val="edge"/>
          <c:yMode val="edge"/>
          <c:x val="0.17480219902089741"/>
          <c:y val="1.4340990881294514E-4"/>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2.8111978960376452E-3"/>
          <c:y val="0.18655897394269041"/>
          <c:w val="0.94792503049794863"/>
          <c:h val="0.67645588115919653"/>
        </c:manualLayout>
      </c:layout>
      <c:bar3DChart>
        <c:barDir val="col"/>
        <c:grouping val="clustered"/>
        <c:varyColors val="0"/>
        <c:ser>
          <c:idx val="0"/>
          <c:order val="0"/>
          <c:invertIfNegative val="0"/>
          <c:dLbls>
            <c:dLbl>
              <c:idx val="0"/>
              <c:layout>
                <c:manualLayout>
                  <c:x val="1.2003000750187561E-2"/>
                  <c:y val="-5.3125032677688155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9.0022505626407047E-3"/>
                  <c:y val="-1.062416998671980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2003000750187601E-2"/>
                  <c:y val="-5.3120849933598691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500375093773444E-2"/>
                  <c:y val="-1.062416998671980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Лист1!$A$275:$A$278</c:f>
              <c:strCache>
                <c:ptCount val="4"/>
                <c:pt idx="0">
                  <c:v>2014 рік</c:v>
                </c:pt>
                <c:pt idx="1">
                  <c:v>2015 рік</c:v>
                </c:pt>
                <c:pt idx="2">
                  <c:v>2016 рік</c:v>
                </c:pt>
                <c:pt idx="3">
                  <c:v>8 міс. 2017 року</c:v>
                </c:pt>
              </c:strCache>
            </c:strRef>
          </c:cat>
          <c:val>
            <c:numRef>
              <c:f>Лист1!$B$275:$B$278</c:f>
              <c:numCache>
                <c:formatCode>General</c:formatCode>
                <c:ptCount val="4"/>
                <c:pt idx="0">
                  <c:v>348</c:v>
                </c:pt>
                <c:pt idx="1">
                  <c:v>412</c:v>
                </c:pt>
                <c:pt idx="2">
                  <c:v>531</c:v>
                </c:pt>
                <c:pt idx="3">
                  <c:v>508</c:v>
                </c:pt>
              </c:numCache>
            </c:numRef>
          </c:val>
        </c:ser>
        <c:ser>
          <c:idx val="1"/>
          <c:order val="1"/>
          <c:invertIfNegative val="0"/>
          <c:cat>
            <c:strRef>
              <c:f>Лист1!$A$275:$A$278</c:f>
              <c:strCache>
                <c:ptCount val="4"/>
                <c:pt idx="0">
                  <c:v>2014 рік</c:v>
                </c:pt>
                <c:pt idx="1">
                  <c:v>2015 рік</c:v>
                </c:pt>
                <c:pt idx="2">
                  <c:v>2016 рік</c:v>
                </c:pt>
                <c:pt idx="3">
                  <c:v>8 міс. 2017 року</c:v>
                </c:pt>
              </c:strCache>
            </c:strRef>
          </c:cat>
          <c:val>
            <c:numRef>
              <c:f>Лист1!$C$275:$C$278</c:f>
              <c:numCache>
                <c:formatCode>General</c:formatCode>
                <c:ptCount val="4"/>
              </c:numCache>
            </c:numRef>
          </c:val>
        </c:ser>
        <c:dLbls>
          <c:showLegendKey val="0"/>
          <c:showVal val="0"/>
          <c:showCatName val="0"/>
          <c:showSerName val="0"/>
          <c:showPercent val="0"/>
          <c:showBubbleSize val="0"/>
        </c:dLbls>
        <c:gapWidth val="150"/>
        <c:shape val="box"/>
        <c:axId val="423754440"/>
        <c:axId val="423754832"/>
        <c:axId val="0"/>
      </c:bar3DChart>
      <c:catAx>
        <c:axId val="423754440"/>
        <c:scaling>
          <c:orientation val="minMax"/>
        </c:scaling>
        <c:delete val="0"/>
        <c:axPos val="b"/>
        <c:numFmt formatCode="General" sourceLinked="0"/>
        <c:majorTickMark val="out"/>
        <c:minorTickMark val="none"/>
        <c:tickLblPos val="nextTo"/>
        <c:txPr>
          <a:bodyPr/>
          <a:lstStyle/>
          <a:p>
            <a:pPr>
              <a:defRPr sz="900" b="1">
                <a:latin typeface="Times New Roman" pitchFamily="18" charset="0"/>
                <a:cs typeface="Times New Roman" pitchFamily="18" charset="0"/>
              </a:defRPr>
            </a:pPr>
            <a:endParaRPr lang="ru-RU"/>
          </a:p>
        </c:txPr>
        <c:crossAx val="423754832"/>
        <c:crosses val="autoZero"/>
        <c:auto val="1"/>
        <c:lblAlgn val="ctr"/>
        <c:lblOffset val="100"/>
        <c:noMultiLvlLbl val="0"/>
      </c:catAx>
      <c:valAx>
        <c:axId val="423754832"/>
        <c:scaling>
          <c:orientation val="minMax"/>
        </c:scaling>
        <c:delete val="1"/>
        <c:axPos val="l"/>
        <c:numFmt formatCode="General" sourceLinked="1"/>
        <c:majorTickMark val="out"/>
        <c:minorTickMark val="none"/>
        <c:tickLblPos val="none"/>
        <c:crossAx val="423754440"/>
        <c:crosses val="autoZero"/>
        <c:crossBetween val="between"/>
      </c:valAx>
    </c:plotArea>
    <c:plotVisOnly val="1"/>
    <c:dispBlanksAs val="gap"/>
    <c:showDLblsOverMax val="0"/>
  </c:chart>
  <c:spPr>
    <a:ln>
      <a:noFill/>
    </a:ln>
  </c:sp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uk-UA" sz="1200">
                <a:latin typeface="Times New Roman" pitchFamily="18" charset="0"/>
                <a:cs typeface="Times New Roman" pitchFamily="18" charset="0"/>
              </a:rPr>
              <a:t>Загальна</a:t>
            </a:r>
            <a:r>
              <a:rPr lang="uk-UA" sz="1200" baseline="0">
                <a:latin typeface="Times New Roman" pitchFamily="18" charset="0"/>
                <a:cs typeface="Times New Roman" pitchFamily="18" charset="0"/>
              </a:rPr>
              <a:t> площа, </a:t>
            </a:r>
            <a:r>
              <a:rPr lang="uk-UA" sz="1100" baseline="0">
                <a:latin typeface="Times New Roman" pitchFamily="18" charset="0"/>
                <a:cs typeface="Times New Roman" pitchFamily="18" charset="0"/>
              </a:rPr>
              <a:t>орендованих</a:t>
            </a:r>
            <a:r>
              <a:rPr lang="uk-UA" sz="1200" baseline="0">
                <a:latin typeface="Times New Roman" pitchFamily="18" charset="0"/>
                <a:cs typeface="Times New Roman" pitchFamily="18" charset="0"/>
              </a:rPr>
              <a:t> приміщень, тис.м.кв.</a:t>
            </a:r>
            <a:endParaRPr lang="uk-UA" sz="1200">
              <a:latin typeface="Times New Roman" pitchFamily="18" charset="0"/>
              <a:cs typeface="Times New Roman" pitchFamily="18" charset="0"/>
            </a:endParaRPr>
          </a:p>
        </c:rich>
      </c:tx>
      <c:layout>
        <c:manualLayout>
          <c:xMode val="edge"/>
          <c:yMode val="edge"/>
          <c:x val="0.14827371578552678"/>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1.4285714285714285E-2"/>
          <c:y val="0.22955326460481087"/>
          <c:w val="0.9857142857142791"/>
          <c:h val="0.59903780068728518"/>
        </c:manualLayout>
      </c:layout>
      <c:bar3DChart>
        <c:barDir val="col"/>
        <c:grouping val="clustered"/>
        <c:varyColors val="0"/>
        <c:ser>
          <c:idx val="0"/>
          <c:order val="0"/>
          <c:invertIfNegative val="0"/>
          <c:dLbls>
            <c:dLbl>
              <c:idx val="0"/>
              <c:layout>
                <c:manualLayout>
                  <c:x val="8.3333333333333367E-3"/>
                  <c:y val="-2.314814814814812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111111111111125E-2"/>
                  <c:y val="-1.851851851851858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8.3333333333333367E-3"/>
                  <c:y val="-1.8518518518518583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2222222222222202E-2"/>
                  <c:y val="-1.388888888888910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Лист1!$A$291:$A$294</c:f>
              <c:strCache>
                <c:ptCount val="4"/>
                <c:pt idx="0">
                  <c:v>2014 рік</c:v>
                </c:pt>
                <c:pt idx="1">
                  <c:v>2015 рік</c:v>
                </c:pt>
                <c:pt idx="2">
                  <c:v>2016 рік</c:v>
                </c:pt>
                <c:pt idx="3">
                  <c:v>8 міс. 2017 року</c:v>
                </c:pt>
              </c:strCache>
            </c:strRef>
          </c:cat>
          <c:val>
            <c:numRef>
              <c:f>Лист1!$B$291:$B$294</c:f>
              <c:numCache>
                <c:formatCode>General</c:formatCode>
                <c:ptCount val="4"/>
                <c:pt idx="0">
                  <c:v>45.1</c:v>
                </c:pt>
                <c:pt idx="1">
                  <c:v>49.2</c:v>
                </c:pt>
                <c:pt idx="2">
                  <c:v>54.9</c:v>
                </c:pt>
                <c:pt idx="3">
                  <c:v>52.6</c:v>
                </c:pt>
              </c:numCache>
            </c:numRef>
          </c:val>
        </c:ser>
        <c:dLbls>
          <c:showLegendKey val="0"/>
          <c:showVal val="0"/>
          <c:showCatName val="0"/>
          <c:showSerName val="0"/>
          <c:showPercent val="0"/>
          <c:showBubbleSize val="0"/>
        </c:dLbls>
        <c:gapWidth val="150"/>
        <c:shape val="cylinder"/>
        <c:axId val="423757184"/>
        <c:axId val="423759144"/>
        <c:axId val="0"/>
      </c:bar3DChart>
      <c:catAx>
        <c:axId val="423757184"/>
        <c:scaling>
          <c:orientation val="minMax"/>
        </c:scaling>
        <c:delete val="0"/>
        <c:axPos val="b"/>
        <c:numFmt formatCode="General" sourceLinked="0"/>
        <c:majorTickMark val="out"/>
        <c:minorTickMark val="none"/>
        <c:tickLblPos val="nextTo"/>
        <c:txPr>
          <a:bodyPr/>
          <a:lstStyle/>
          <a:p>
            <a:pPr>
              <a:defRPr sz="800" b="1">
                <a:latin typeface="Times New Roman" pitchFamily="18" charset="0"/>
                <a:cs typeface="Times New Roman" pitchFamily="18" charset="0"/>
              </a:defRPr>
            </a:pPr>
            <a:endParaRPr lang="ru-RU"/>
          </a:p>
        </c:txPr>
        <c:crossAx val="423759144"/>
        <c:crosses val="autoZero"/>
        <c:auto val="1"/>
        <c:lblAlgn val="ctr"/>
        <c:lblOffset val="100"/>
        <c:noMultiLvlLbl val="0"/>
      </c:catAx>
      <c:valAx>
        <c:axId val="423759144"/>
        <c:scaling>
          <c:orientation val="minMax"/>
        </c:scaling>
        <c:delete val="1"/>
        <c:axPos val="l"/>
        <c:numFmt formatCode="General" sourceLinked="1"/>
        <c:majorTickMark val="out"/>
        <c:minorTickMark val="none"/>
        <c:tickLblPos val="none"/>
        <c:crossAx val="423757184"/>
        <c:crosses val="autoZero"/>
        <c:crossBetween val="between"/>
      </c:valAx>
    </c:plotArea>
    <c:plotVisOnly val="1"/>
    <c:dispBlanksAs val="gap"/>
    <c:showDLblsOverMax val="0"/>
  </c:chart>
  <c:spPr>
    <a:ln>
      <a:noFill/>
    </a:ln>
  </c:sp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itchFamily="18" charset="0"/>
                <a:cs typeface="Times New Roman" pitchFamily="18" charset="0"/>
              </a:defRPr>
            </a:pPr>
            <a:r>
              <a:rPr lang="uk-UA" sz="1100">
                <a:latin typeface="Times New Roman" pitchFamily="18" charset="0"/>
                <a:cs typeface="Times New Roman" pitchFamily="18" charset="0"/>
              </a:rPr>
              <a:t>Обсяг надходжень</a:t>
            </a:r>
            <a:r>
              <a:rPr lang="uk-UA" sz="1100" baseline="0">
                <a:latin typeface="Times New Roman" pitchFamily="18" charset="0"/>
                <a:cs typeface="Times New Roman" pitchFamily="18" charset="0"/>
              </a:rPr>
              <a:t> від оренди майна комунальної власності, млн.грн.</a:t>
            </a:r>
            <a:endParaRPr lang="uk-UA" sz="1100">
              <a:latin typeface="Times New Roman" pitchFamily="18" charset="0"/>
              <a:cs typeface="Times New Roman" pitchFamily="18" charset="0"/>
            </a:endParaRPr>
          </a:p>
        </c:rich>
      </c:tx>
      <c:layout>
        <c:manualLayout>
          <c:xMode val="edge"/>
          <c:yMode val="edge"/>
          <c:x val="0.17658792650918634"/>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3.4591194968553458E-2"/>
          <c:y val="0.23733333333333528"/>
          <c:w val="0.93081761006289365"/>
          <c:h val="0.55973333333333364"/>
        </c:manualLayout>
      </c:layout>
      <c:bar3DChart>
        <c:barDir val="col"/>
        <c:grouping val="clustered"/>
        <c:varyColors val="0"/>
        <c:ser>
          <c:idx val="0"/>
          <c:order val="0"/>
          <c:invertIfNegative val="0"/>
          <c:dLbls>
            <c:dLbl>
              <c:idx val="0"/>
              <c:layout>
                <c:manualLayout>
                  <c:x val="1.1111111111111125E-2"/>
                  <c:y val="-1.388888888888910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111111111111125E-2"/>
                  <c:y val="-2.777777777777852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3888888888889103E-2"/>
                  <c:y val="-3.240740740740794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3888888888889188E-2"/>
                  <c:y val="-2.314814814814814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Лист1!$A$308:$A$311</c:f>
              <c:strCache>
                <c:ptCount val="4"/>
                <c:pt idx="0">
                  <c:v>2014 рік</c:v>
                </c:pt>
                <c:pt idx="1">
                  <c:v>2015 рік</c:v>
                </c:pt>
                <c:pt idx="2">
                  <c:v>2016 рік</c:v>
                </c:pt>
                <c:pt idx="3">
                  <c:v>8 міс. 2017 року</c:v>
                </c:pt>
              </c:strCache>
            </c:strRef>
          </c:cat>
          <c:val>
            <c:numRef>
              <c:f>Лист1!$B$308:$B$311</c:f>
              <c:numCache>
                <c:formatCode>General</c:formatCode>
                <c:ptCount val="4"/>
                <c:pt idx="0">
                  <c:v>4.5</c:v>
                </c:pt>
                <c:pt idx="1">
                  <c:v>10.3</c:v>
                </c:pt>
                <c:pt idx="2">
                  <c:v>11.2</c:v>
                </c:pt>
                <c:pt idx="3">
                  <c:v>6.1</c:v>
                </c:pt>
              </c:numCache>
            </c:numRef>
          </c:val>
        </c:ser>
        <c:dLbls>
          <c:showLegendKey val="0"/>
          <c:showVal val="0"/>
          <c:showCatName val="0"/>
          <c:showSerName val="0"/>
          <c:showPercent val="0"/>
          <c:showBubbleSize val="0"/>
        </c:dLbls>
        <c:gapWidth val="150"/>
        <c:shape val="cylinder"/>
        <c:axId val="423755224"/>
        <c:axId val="423748952"/>
        <c:axId val="0"/>
      </c:bar3DChart>
      <c:catAx>
        <c:axId val="423755224"/>
        <c:scaling>
          <c:orientation val="minMax"/>
        </c:scaling>
        <c:delete val="0"/>
        <c:axPos val="b"/>
        <c:numFmt formatCode="General" sourceLinked="0"/>
        <c:majorTickMark val="out"/>
        <c:minorTickMark val="none"/>
        <c:tickLblPos val="nextTo"/>
        <c:txPr>
          <a:bodyPr/>
          <a:lstStyle/>
          <a:p>
            <a:pPr>
              <a:defRPr sz="800" b="1">
                <a:latin typeface="Times New Roman" pitchFamily="18" charset="0"/>
                <a:cs typeface="Times New Roman" pitchFamily="18" charset="0"/>
              </a:defRPr>
            </a:pPr>
            <a:endParaRPr lang="ru-RU"/>
          </a:p>
        </c:txPr>
        <c:crossAx val="423748952"/>
        <c:crosses val="autoZero"/>
        <c:auto val="1"/>
        <c:lblAlgn val="ctr"/>
        <c:lblOffset val="100"/>
        <c:noMultiLvlLbl val="0"/>
      </c:catAx>
      <c:valAx>
        <c:axId val="423748952"/>
        <c:scaling>
          <c:orientation val="minMax"/>
        </c:scaling>
        <c:delete val="1"/>
        <c:axPos val="l"/>
        <c:numFmt formatCode="General" sourceLinked="1"/>
        <c:majorTickMark val="out"/>
        <c:minorTickMark val="none"/>
        <c:tickLblPos val="none"/>
        <c:crossAx val="423755224"/>
        <c:crosses val="autoZero"/>
        <c:crossBetween val="between"/>
      </c:valAx>
    </c:plotArea>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uk-UA" sz="1200">
                <a:latin typeface="Times New Roman" pitchFamily="18" charset="0"/>
                <a:cs typeface="Times New Roman" pitchFamily="18" charset="0"/>
              </a:rPr>
              <a:t>Обсяг</a:t>
            </a:r>
            <a:r>
              <a:rPr lang="uk-UA" sz="1200" baseline="0">
                <a:latin typeface="Times New Roman" pitchFamily="18" charset="0"/>
                <a:cs typeface="Times New Roman" pitchFamily="18" charset="0"/>
              </a:rPr>
              <a:t> прямих іноземних інвестицій на одну особу, дол. США</a:t>
            </a:r>
            <a:endParaRPr lang="uk-UA" sz="1200">
              <a:latin typeface="Times New Roman" pitchFamily="18" charset="0"/>
              <a:cs typeface="Times New Roman" pitchFamily="18" charset="0"/>
            </a:endParaRPr>
          </a:p>
        </c:rich>
      </c:tx>
      <c:layout>
        <c:manualLayout>
          <c:xMode val="edge"/>
          <c:yMode val="edge"/>
          <c:x val="0.12593257449036491"/>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1.2293800062556947E-3"/>
          <c:y val="0.16158192090395257"/>
          <c:w val="0.8482643167013445"/>
          <c:h val="0.66644067796611128"/>
        </c:manualLayout>
      </c:layout>
      <c:bar3DChart>
        <c:barDir val="col"/>
        <c:grouping val="clustered"/>
        <c:varyColors val="0"/>
        <c:ser>
          <c:idx val="0"/>
          <c:order val="0"/>
          <c:tx>
            <c:strRef>
              <c:f>Лист1!$B$35</c:f>
              <c:strCache>
                <c:ptCount val="1"/>
                <c:pt idx="0">
                  <c:v>по місту </c:v>
                </c:pt>
              </c:strCache>
            </c:strRef>
          </c:tx>
          <c:invertIfNegative val="0"/>
          <c:dLbls>
            <c:dLbl>
              <c:idx val="0"/>
              <c:layout>
                <c:manualLayout>
                  <c:x val="1.6666666666666701E-2"/>
                  <c:y val="-1.851851851851858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5.5555555555555558E-3"/>
                  <c:y val="-4.6296296296296988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9444444444444445E-2"/>
                  <c:y val="-9.2592592592594652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8.3333333333333367E-3"/>
                  <c:y val="-4.6296296296296988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Лист1!$A$36:$A$39</c:f>
              <c:strCache>
                <c:ptCount val="4"/>
                <c:pt idx="0">
                  <c:v>2014 рік </c:v>
                </c:pt>
                <c:pt idx="1">
                  <c:v>2015 рік</c:v>
                </c:pt>
                <c:pt idx="2">
                  <c:v>2016 рік</c:v>
                </c:pt>
                <c:pt idx="3">
                  <c:v>6 міс. 2017 року</c:v>
                </c:pt>
              </c:strCache>
            </c:strRef>
          </c:cat>
          <c:val>
            <c:numRef>
              <c:f>Лист1!$B$36:$B$39</c:f>
              <c:numCache>
                <c:formatCode>General</c:formatCode>
                <c:ptCount val="4"/>
                <c:pt idx="0">
                  <c:v>358.7</c:v>
                </c:pt>
                <c:pt idx="1">
                  <c:v>307.2</c:v>
                </c:pt>
                <c:pt idx="2" formatCode="0.0">
                  <c:v>304.5</c:v>
                </c:pt>
                <c:pt idx="3">
                  <c:v>314.2</c:v>
                </c:pt>
              </c:numCache>
            </c:numRef>
          </c:val>
        </c:ser>
        <c:ser>
          <c:idx val="1"/>
          <c:order val="1"/>
          <c:tx>
            <c:strRef>
              <c:f>Лист1!$C$35</c:f>
              <c:strCache>
                <c:ptCount val="1"/>
                <c:pt idx="0">
                  <c:v>по області</c:v>
                </c:pt>
              </c:strCache>
            </c:strRef>
          </c:tx>
          <c:spPr>
            <a:solidFill>
              <a:schemeClr val="accent3">
                <a:lumMod val="75000"/>
              </a:schemeClr>
            </a:solidFill>
          </c:spPr>
          <c:invertIfNegative val="0"/>
          <c:dLbls>
            <c:dLbl>
              <c:idx val="0"/>
              <c:layout>
                <c:manualLayout>
                  <c:x val="3.2584825860498011E-2"/>
                  <c:y val="-7.2196272076159983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4686195313668691E-2"/>
                  <c:y val="-1.388896303216336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8816585750615376E-2"/>
                  <c:y val="1.0200631700698441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1666666666666664E-2"/>
                  <c:y val="-9.2592592592594652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Лист1!$A$36:$A$39</c:f>
              <c:strCache>
                <c:ptCount val="4"/>
                <c:pt idx="0">
                  <c:v>2014 рік </c:v>
                </c:pt>
                <c:pt idx="1">
                  <c:v>2015 рік</c:v>
                </c:pt>
                <c:pt idx="2">
                  <c:v>2016 рік</c:v>
                </c:pt>
                <c:pt idx="3">
                  <c:v>6 міс. 2017 року</c:v>
                </c:pt>
              </c:strCache>
            </c:strRef>
          </c:cat>
          <c:val>
            <c:numRef>
              <c:f>Лист1!$C$36:$C$39</c:f>
              <c:numCache>
                <c:formatCode>General</c:formatCode>
                <c:ptCount val="4"/>
                <c:pt idx="0" formatCode="0.0">
                  <c:v>227</c:v>
                </c:pt>
                <c:pt idx="1">
                  <c:v>199.1</c:v>
                </c:pt>
                <c:pt idx="2">
                  <c:v>178.8</c:v>
                </c:pt>
                <c:pt idx="3">
                  <c:v>182.7</c:v>
                </c:pt>
              </c:numCache>
            </c:numRef>
          </c:val>
        </c:ser>
        <c:dLbls>
          <c:showLegendKey val="0"/>
          <c:showVal val="0"/>
          <c:showCatName val="0"/>
          <c:showSerName val="0"/>
          <c:showPercent val="0"/>
          <c:showBubbleSize val="0"/>
        </c:dLbls>
        <c:gapWidth val="150"/>
        <c:shape val="box"/>
        <c:axId val="423740720"/>
        <c:axId val="423741504"/>
        <c:axId val="0"/>
      </c:bar3DChart>
      <c:catAx>
        <c:axId val="423740720"/>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423741504"/>
        <c:crosses val="autoZero"/>
        <c:auto val="1"/>
        <c:lblAlgn val="ctr"/>
        <c:lblOffset val="100"/>
        <c:noMultiLvlLbl val="0"/>
      </c:catAx>
      <c:valAx>
        <c:axId val="423741504"/>
        <c:scaling>
          <c:orientation val="minMax"/>
        </c:scaling>
        <c:delete val="1"/>
        <c:axPos val="l"/>
        <c:numFmt formatCode="General" sourceLinked="1"/>
        <c:majorTickMark val="out"/>
        <c:minorTickMark val="none"/>
        <c:tickLblPos val="none"/>
        <c:crossAx val="423740720"/>
        <c:crosses val="autoZero"/>
        <c:crossBetween val="between"/>
      </c:valAx>
    </c:plotArea>
    <c:legend>
      <c:legendPos val="r"/>
      <c:layout>
        <c:manualLayout>
          <c:xMode val="edge"/>
          <c:yMode val="edge"/>
          <c:x val="0.76881699373070589"/>
          <c:y val="0.19681258063081097"/>
          <c:w val="0.20700338623475176"/>
          <c:h val="0.19168557320165153"/>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noFill/>
    <a:ln>
      <a:noFill/>
    </a:ln>
  </c:sp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l">
              <a:defRPr sz="1200">
                <a:latin typeface="Times New Roman" pitchFamily="18" charset="0"/>
                <a:cs typeface="Times New Roman" pitchFamily="18" charset="0"/>
              </a:defRPr>
            </a:pPr>
            <a:r>
              <a:rPr lang="ru-RU" sz="1200">
                <a:latin typeface="Times New Roman" pitchFamily="18" charset="0"/>
                <a:cs typeface="Times New Roman" pitchFamily="18" charset="0"/>
              </a:rPr>
              <a:t>Структура земельного фонду, %</a:t>
            </a:r>
          </a:p>
        </c:rich>
      </c:tx>
      <c:layout>
        <c:manualLayout>
          <c:xMode val="edge"/>
          <c:yMode val="edge"/>
          <c:x val="0.21831775700934591"/>
          <c:y val="1.3636358755777143E-2"/>
        </c:manualLayout>
      </c:layout>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8.7440180689131689E-2"/>
          <c:y val="0.40779047681085656"/>
          <c:w val="0.55555555555555569"/>
          <c:h val="0.54739988588161559"/>
        </c:manualLayout>
      </c:layout>
      <c:pie3DChart>
        <c:varyColors val="1"/>
        <c:ser>
          <c:idx val="0"/>
          <c:order val="0"/>
          <c:explosion val="25"/>
          <c:dPt>
            <c:idx val="5"/>
            <c:bubble3D val="0"/>
            <c:spPr>
              <a:solidFill>
                <a:schemeClr val="bg1">
                  <a:lumMod val="75000"/>
                </a:schemeClr>
              </a:solidFill>
            </c:spPr>
          </c:dPt>
          <c:dLbls>
            <c:dLbl>
              <c:idx val="0"/>
              <c:layout>
                <c:manualLayout>
                  <c:x val="-0.11519214948877811"/>
                  <c:y val="5.7636997906908446E-2"/>
                </c:manualLayout>
              </c:layout>
              <c:tx>
                <c:rich>
                  <a:bodyPr/>
                  <a:lstStyle/>
                  <a:p>
                    <a:r>
                      <a:rPr lang="ru-RU"/>
                      <a:t>Рілля</a:t>
                    </a:r>
                    <a:r>
                      <a:rPr lang="ru-RU" baseline="0"/>
                      <a:t> </a:t>
                    </a:r>
                    <a:r>
                      <a:rPr lang="ru-RU"/>
                      <a:t> 20,5</a:t>
                    </a:r>
                  </a:p>
                </c:rich>
              </c:tx>
              <c:showLegendKey val="0"/>
              <c:showVal val="1"/>
              <c:showCatName val="1"/>
              <c:showSerName val="0"/>
              <c:showPercent val="0"/>
              <c:showBubbleSize val="0"/>
              <c:extLst>
                <c:ext xmlns:c15="http://schemas.microsoft.com/office/drawing/2012/chart" uri="{CE6537A1-D6FC-4f65-9D91-7224C49458BB}"/>
              </c:extLst>
            </c:dLbl>
            <c:dLbl>
              <c:idx val="1"/>
              <c:layout>
                <c:manualLayout>
                  <c:x val="-2.9953193350831145E-2"/>
                  <c:y val="-0.19716195008300927"/>
                </c:manualLayout>
              </c:layout>
              <c:tx>
                <c:rich>
                  <a:bodyPr/>
                  <a:lstStyle/>
                  <a:p>
                    <a:r>
                      <a:rPr lang="ru-RU"/>
                      <a:t>Багаторічні насадження 3,4</a:t>
                    </a:r>
                  </a:p>
                </c:rich>
              </c:tx>
              <c:showLegendKey val="0"/>
              <c:showVal val="1"/>
              <c:showCatName val="1"/>
              <c:showSerName val="0"/>
              <c:showPercent val="0"/>
              <c:showBubbleSize val="0"/>
              <c:extLst>
                <c:ext xmlns:c15="http://schemas.microsoft.com/office/drawing/2012/chart" uri="{CE6537A1-D6FC-4f65-9D91-7224C49458BB}"/>
              </c:extLst>
            </c:dLbl>
            <c:dLbl>
              <c:idx val="2"/>
              <c:tx>
                <c:rich>
                  <a:bodyPr/>
                  <a:lstStyle/>
                  <a:p>
                    <a:r>
                      <a:rPr lang="ru-RU"/>
                      <a:t>Сіножаті</a:t>
                    </a:r>
                    <a:r>
                      <a:rPr lang="ru-RU" baseline="0"/>
                      <a:t> - </a:t>
                    </a:r>
                    <a:r>
                      <a:rPr lang="ru-RU"/>
                      <a:t>0,4</a:t>
                    </a:r>
                  </a:p>
                </c:rich>
              </c:tx>
              <c:showLegendKey val="0"/>
              <c:showVal val="1"/>
              <c:showCatName val="1"/>
              <c:showSerName val="0"/>
              <c:showPercent val="0"/>
              <c:showBubbleSize val="0"/>
              <c:extLst>
                <c:ext xmlns:c15="http://schemas.microsoft.com/office/drawing/2012/chart" uri="{CE6537A1-D6FC-4f65-9D91-7224C49458BB}"/>
              </c:extLst>
            </c:dLbl>
            <c:dLbl>
              <c:idx val="3"/>
              <c:layout>
                <c:manualLayout>
                  <c:x val="5.2243547681539777E-2"/>
                  <c:y val="8.5047086731003564E-3"/>
                </c:manualLayout>
              </c:layout>
              <c:tx>
                <c:rich>
                  <a:bodyPr/>
                  <a:lstStyle/>
                  <a:p>
                    <a:r>
                      <a:rPr lang="ru-RU"/>
                      <a:t>Пасовища</a:t>
                    </a:r>
                    <a:r>
                      <a:rPr lang="ru-RU" baseline="0"/>
                      <a:t> -</a:t>
                    </a:r>
                    <a:r>
                      <a:rPr lang="ru-RU"/>
                      <a:t>0,3</a:t>
                    </a:r>
                  </a:p>
                </c:rich>
              </c:tx>
              <c:showLegendKey val="0"/>
              <c:showVal val="1"/>
              <c:showCatName val="1"/>
              <c:showSerName val="0"/>
              <c:showPercent val="0"/>
              <c:showBubbleSize val="0"/>
              <c:extLst>
                <c:ext xmlns:c15="http://schemas.microsoft.com/office/drawing/2012/chart" uri="{CE6537A1-D6FC-4f65-9D91-7224C49458BB}"/>
              </c:extLst>
            </c:dLbl>
            <c:dLbl>
              <c:idx val="4"/>
              <c:layout>
                <c:manualLayout>
                  <c:x val="-4.4349671963182902E-2"/>
                  <c:y val="0.17020144230442583"/>
                </c:manualLayout>
              </c:layout>
              <c:tx>
                <c:rich>
                  <a:bodyPr/>
                  <a:lstStyle/>
                  <a:p>
                    <a:r>
                      <a:rPr lang="ru-RU"/>
                      <a:t>Ліси та інші лісовкриті площі</a:t>
                    </a:r>
                    <a:r>
                      <a:rPr lang="ru-RU" baseline="0"/>
                      <a:t> - </a:t>
                    </a:r>
                    <a:r>
                      <a:rPr lang="ru-RU"/>
                      <a:t>2,4</a:t>
                    </a:r>
                  </a:p>
                </c:rich>
              </c:tx>
              <c:showLegendKey val="0"/>
              <c:showVal val="1"/>
              <c:showCatName val="1"/>
              <c:showSerName val="0"/>
              <c:showPercent val="0"/>
              <c:showBubbleSize val="0"/>
              <c:extLst>
                <c:ext xmlns:c15="http://schemas.microsoft.com/office/drawing/2012/chart" uri="{CE6537A1-D6FC-4f65-9D91-7224C49458BB}"/>
              </c:extLst>
            </c:dLbl>
            <c:dLbl>
              <c:idx val="5"/>
              <c:tx>
                <c:rich>
                  <a:bodyPr/>
                  <a:lstStyle/>
                  <a:p>
                    <a:r>
                      <a:rPr lang="ru-RU"/>
                      <a:t>Забудовані землі</a:t>
                    </a:r>
                    <a:r>
                      <a:rPr lang="ru-RU" baseline="0"/>
                      <a:t> - </a:t>
                    </a:r>
                    <a:r>
                      <a:rPr lang="ru-RU"/>
                      <a:t>64,8</a:t>
                    </a:r>
                  </a:p>
                </c:rich>
              </c:tx>
              <c:showLegendKey val="0"/>
              <c:showVal val="1"/>
              <c:showCatName val="1"/>
              <c:showSerName val="0"/>
              <c:showPercent val="0"/>
              <c:showBubbleSize val="0"/>
              <c:extLst>
                <c:ext xmlns:c15="http://schemas.microsoft.com/office/drawing/2012/chart" uri="{CE6537A1-D6FC-4f65-9D91-7224C49458BB}"/>
              </c:extLst>
            </c:dLbl>
            <c:dLbl>
              <c:idx val="6"/>
              <c:layout>
                <c:manualLayout>
                  <c:x val="-6.8284886264216971E-2"/>
                  <c:y val="4.9501428543422404E-2"/>
                </c:manualLayout>
              </c:layout>
              <c:tx>
                <c:rich>
                  <a:bodyPr/>
                  <a:lstStyle/>
                  <a:p>
                    <a:r>
                      <a:rPr lang="ru-RU"/>
                      <a:t>Заболочені землі</a:t>
                    </a:r>
                    <a:r>
                      <a:rPr lang="ru-RU" baseline="0"/>
                      <a:t> - </a:t>
                    </a:r>
                    <a:r>
                      <a:rPr lang="ru-RU"/>
                      <a:t>0,05</a:t>
                    </a:r>
                  </a:p>
                </c:rich>
              </c:tx>
              <c:showLegendKey val="0"/>
              <c:showVal val="1"/>
              <c:showCatName val="1"/>
              <c:showSerName val="0"/>
              <c:showPercent val="0"/>
              <c:showBubbleSize val="0"/>
              <c:extLst>
                <c:ext xmlns:c15="http://schemas.microsoft.com/office/drawing/2012/chart" uri="{CE6537A1-D6FC-4f65-9D91-7224C49458BB}"/>
              </c:extLst>
            </c:dLbl>
            <c:dLbl>
              <c:idx val="7"/>
              <c:layout>
                <c:manualLayout>
                  <c:x val="4.0469157746367251E-2"/>
                  <c:y val="-5.5603773942816209E-2"/>
                </c:manualLayout>
              </c:layout>
              <c:tx>
                <c:rich>
                  <a:bodyPr/>
                  <a:lstStyle/>
                  <a:p>
                    <a:r>
                      <a:rPr lang="ru-RU"/>
                      <a:t>Відкриті землі без рослинного покриву</a:t>
                    </a:r>
                    <a:r>
                      <a:rPr lang="ru-RU" baseline="0"/>
                      <a:t> - </a:t>
                    </a:r>
                    <a:r>
                      <a:rPr lang="ru-RU"/>
                      <a:t>5,2</a:t>
                    </a:r>
                  </a:p>
                </c:rich>
              </c:tx>
              <c:showLegendKey val="0"/>
              <c:showVal val="1"/>
              <c:showCatName val="1"/>
              <c:showSerName val="0"/>
              <c:showPercent val="0"/>
              <c:showBubbleSize val="0"/>
              <c:extLst>
                <c:ext xmlns:c15="http://schemas.microsoft.com/office/drawing/2012/chart" uri="{CE6537A1-D6FC-4f65-9D91-7224C49458BB}"/>
              </c:extLst>
            </c:dLbl>
            <c:dLbl>
              <c:idx val="8"/>
              <c:layout>
                <c:manualLayout>
                  <c:x val="0.14377537182852143"/>
                  <c:y val="-6.868616309436229E-2"/>
                </c:manualLayout>
              </c:layout>
              <c:tx>
                <c:rich>
                  <a:bodyPr/>
                  <a:lstStyle/>
                  <a:p>
                    <a:r>
                      <a:rPr lang="ru-RU"/>
                      <a:t>Вода</a:t>
                    </a:r>
                    <a:r>
                      <a:rPr lang="ru-RU" baseline="0"/>
                      <a:t> - </a:t>
                    </a:r>
                    <a:r>
                      <a:rPr lang="ru-RU"/>
                      <a:t>3,0</a:t>
                    </a:r>
                  </a:p>
                </c:rich>
              </c:tx>
              <c:showLegendKey val="0"/>
              <c:showVal val="1"/>
              <c:showCatName val="1"/>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1"/>
            <c:showSerName val="0"/>
            <c:showPercent val="0"/>
            <c:showBubbleSize val="0"/>
            <c:showLeaderLines val="1"/>
            <c:extLst>
              <c:ext xmlns:c15="http://schemas.microsoft.com/office/drawing/2012/chart" uri="{CE6537A1-D6FC-4f65-9D91-7224C49458BB}"/>
            </c:extLst>
          </c:dLbls>
          <c:cat>
            <c:strRef>
              <c:f>Лист1!$A$191:$A$199</c:f>
              <c:strCache>
                <c:ptCount val="9"/>
                <c:pt idx="0">
                  <c:v>Рілля</c:v>
                </c:pt>
                <c:pt idx="1">
                  <c:v>Багаторічні насадження</c:v>
                </c:pt>
                <c:pt idx="2">
                  <c:v>Сіножаті</c:v>
                </c:pt>
                <c:pt idx="3">
                  <c:v>Пасовища</c:v>
                </c:pt>
                <c:pt idx="4">
                  <c:v>Ліси та інші лісовкриті площі</c:v>
                </c:pt>
                <c:pt idx="5">
                  <c:v>Забудовані землі</c:v>
                </c:pt>
                <c:pt idx="6">
                  <c:v>Заболочені землі</c:v>
                </c:pt>
                <c:pt idx="7">
                  <c:v>Відкриті землі без рослинного покриву</c:v>
                </c:pt>
                <c:pt idx="8">
                  <c:v>Вода</c:v>
                </c:pt>
              </c:strCache>
            </c:strRef>
          </c:cat>
          <c:val>
            <c:numRef>
              <c:f>Лист1!$B$191:$B$199</c:f>
              <c:numCache>
                <c:formatCode>General</c:formatCode>
                <c:ptCount val="9"/>
                <c:pt idx="0">
                  <c:v>20.5</c:v>
                </c:pt>
                <c:pt idx="1">
                  <c:v>3.4</c:v>
                </c:pt>
                <c:pt idx="2">
                  <c:v>0.4</c:v>
                </c:pt>
                <c:pt idx="3">
                  <c:v>0.30000000000000032</c:v>
                </c:pt>
                <c:pt idx="4">
                  <c:v>2.4</c:v>
                </c:pt>
                <c:pt idx="5">
                  <c:v>64.8</c:v>
                </c:pt>
                <c:pt idx="6">
                  <c:v>0.05</c:v>
                </c:pt>
                <c:pt idx="7">
                  <c:v>5.2</c:v>
                </c:pt>
                <c:pt idx="8" formatCode="0.0">
                  <c:v>3</c:v>
                </c:pt>
              </c:numCache>
            </c:numRef>
          </c:val>
        </c:ser>
        <c:dLbls>
          <c:showLegendKey val="0"/>
          <c:showVal val="0"/>
          <c:showCatName val="0"/>
          <c:showSerName val="0"/>
          <c:showPercent val="0"/>
          <c:showBubbleSize val="0"/>
          <c:showLeaderLines val="1"/>
        </c:dLbls>
      </c:pie3DChart>
    </c:plotArea>
    <c:plotVisOnly val="1"/>
    <c:dispBlanksAs val="zero"/>
    <c:showDLblsOverMax val="0"/>
  </c:chart>
  <c:spPr>
    <a:ln>
      <a:noFill/>
    </a:ln>
  </c:sp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Структура земель</a:t>
            </a:r>
            <a:r>
              <a:rPr lang="ru-RU" sz="1200" baseline="0">
                <a:latin typeface="Times New Roman" pitchFamily="18" charset="0"/>
                <a:cs typeface="Times New Roman" pitchFamily="18" charset="0"/>
              </a:rPr>
              <a:t> за формою впливу на природнє середовище, %</a:t>
            </a:r>
            <a:endParaRPr lang="ru-RU" sz="1200">
              <a:latin typeface="Times New Roman" pitchFamily="18" charset="0"/>
              <a:cs typeface="Times New Roman" pitchFamily="18" charset="0"/>
            </a:endParaRPr>
          </a:p>
        </c:rich>
      </c:tx>
      <c:overlay val="0"/>
    </c:title>
    <c:autoTitleDeleted val="0"/>
    <c:plotArea>
      <c:layout>
        <c:manualLayout>
          <c:layoutTarget val="inner"/>
          <c:xMode val="edge"/>
          <c:yMode val="edge"/>
          <c:x val="0.19828179523536571"/>
          <c:y val="0.31418232548629232"/>
          <c:w val="0.45819470842006821"/>
          <c:h val="0.52222179687519765"/>
        </c:manualLayout>
      </c:layout>
      <c:pieChart>
        <c:varyColors val="1"/>
        <c:ser>
          <c:idx val="0"/>
          <c:order val="0"/>
          <c:dLbls>
            <c:dLbl>
              <c:idx val="0"/>
              <c:layout>
                <c:manualLayout>
                  <c:x val="5.8983718989149413E-2"/>
                  <c:y val="-4.4585028003753004E-3"/>
                </c:manualLayout>
              </c:layout>
              <c:tx>
                <c:rich>
                  <a:bodyPr/>
                  <a:lstStyle/>
                  <a:p>
                    <a:r>
                      <a:rPr lang="ru-RU"/>
                      <a:t>Землі сільськогосподарських підприємств 3,0</a:t>
                    </a:r>
                  </a:p>
                </c:rich>
              </c:tx>
              <c:showLegendKey val="0"/>
              <c:showVal val="1"/>
              <c:showCatName val="1"/>
              <c:showSerName val="0"/>
              <c:showPercent val="0"/>
              <c:showBubbleSize val="0"/>
              <c:extLst>
                <c:ext xmlns:c15="http://schemas.microsoft.com/office/drawing/2012/chart" uri="{CE6537A1-D6FC-4f65-9D91-7224C49458BB}"/>
              </c:extLst>
            </c:dLbl>
            <c:dLbl>
              <c:idx val="1"/>
              <c:layout>
                <c:manualLayout>
                  <c:x val="0.26275520157681426"/>
                  <c:y val="0.18405341400969324"/>
                </c:manualLayout>
              </c:layout>
              <c:tx>
                <c:rich>
                  <a:bodyPr/>
                  <a:lstStyle/>
                  <a:p>
                    <a:r>
                      <a:rPr lang="ru-RU"/>
                      <a:t>Землі організацій, підприємств і установ природоохоронного, оздоровчого, рекреаційного та історико-культурного призначення</a:t>
                    </a:r>
                    <a:r>
                      <a:rPr lang="ru-RU" baseline="0"/>
                      <a:t> - </a:t>
                    </a:r>
                    <a:r>
                      <a:rPr lang="ru-RU"/>
                      <a:t>1,8</a:t>
                    </a:r>
                  </a:p>
                </c:rich>
              </c:tx>
              <c:showLegendKey val="0"/>
              <c:showVal val="1"/>
              <c:showCatName val="1"/>
              <c:showSerName val="0"/>
              <c:showPercent val="0"/>
              <c:showBubbleSize val="0"/>
              <c:extLst>
                <c:ext xmlns:c15="http://schemas.microsoft.com/office/drawing/2012/chart" uri="{CE6537A1-D6FC-4f65-9D91-7224C49458BB}"/>
              </c:extLst>
            </c:dLbl>
            <c:dLbl>
              <c:idx val="2"/>
              <c:layout>
                <c:manualLayout>
                  <c:x val="-0.14459716061213998"/>
                  <c:y val="0.1385231909879879"/>
                </c:manualLayout>
              </c:layout>
              <c:tx>
                <c:rich>
                  <a:bodyPr/>
                  <a:lstStyle/>
                  <a:p>
                    <a:r>
                      <a:rPr lang="ru-RU"/>
                      <a:t>Землі закладів, установ та організацій-19,6</a:t>
                    </a:r>
                  </a:p>
                </c:rich>
              </c:tx>
              <c:showLegendKey val="0"/>
              <c:showVal val="1"/>
              <c:showCatName val="1"/>
              <c:showSerName val="0"/>
              <c:showPercent val="0"/>
              <c:showBubbleSize val="0"/>
              <c:extLst>
                <c:ext xmlns:c15="http://schemas.microsoft.com/office/drawing/2012/chart" uri="{CE6537A1-D6FC-4f65-9D91-7224C49458BB}"/>
              </c:extLst>
            </c:dLbl>
            <c:dLbl>
              <c:idx val="3"/>
              <c:layout>
                <c:manualLayout>
                  <c:x val="5.2814130992247826E-2"/>
                  <c:y val="-2.737153953133227E-2"/>
                </c:manualLayout>
              </c:layout>
              <c:tx>
                <c:rich>
                  <a:bodyPr/>
                  <a:lstStyle/>
                  <a:p>
                    <a:r>
                      <a:rPr lang="ru-RU"/>
                      <a:t>Землі промислових та інших підприємств</a:t>
                    </a:r>
                    <a:r>
                      <a:rPr lang="ru-RU" baseline="0"/>
                      <a:t> - </a:t>
                    </a:r>
                    <a:r>
                      <a:rPr lang="ru-RU"/>
                      <a:t>10,8</a:t>
                    </a:r>
                  </a:p>
                </c:rich>
              </c:tx>
              <c:showLegendKey val="0"/>
              <c:showVal val="1"/>
              <c:showCatName val="1"/>
              <c:showSerName val="0"/>
              <c:showPercent val="0"/>
              <c:showBubbleSize val="0"/>
              <c:extLst>
                <c:ext xmlns:c15="http://schemas.microsoft.com/office/drawing/2012/chart" uri="{CE6537A1-D6FC-4f65-9D91-7224C49458BB}"/>
              </c:extLst>
            </c:dLbl>
            <c:dLbl>
              <c:idx val="4"/>
              <c:layout>
                <c:manualLayout>
                  <c:x val="3.9661723589444892E-2"/>
                  <c:y val="1.3876084832461643E-2"/>
                </c:manualLayout>
              </c:layout>
              <c:tx>
                <c:rich>
                  <a:bodyPr/>
                  <a:lstStyle/>
                  <a:p>
                    <a:r>
                      <a:rPr lang="ru-RU"/>
                      <a:t>Землі підприємств та організацій транспорту та зв'язку</a:t>
                    </a:r>
                    <a:r>
                      <a:rPr lang="ru-RU" baseline="0"/>
                      <a:t> -</a:t>
                    </a:r>
                    <a:r>
                      <a:rPr lang="ru-RU"/>
                      <a:t> 5,5</a:t>
                    </a:r>
                  </a:p>
                </c:rich>
              </c:tx>
              <c:showLegendKey val="0"/>
              <c:showVal val="1"/>
              <c:showCatName val="1"/>
              <c:showSerName val="0"/>
              <c:showPercent val="0"/>
              <c:showBubbleSize val="0"/>
              <c:extLst>
                <c:ext xmlns:c15="http://schemas.microsoft.com/office/drawing/2012/chart" uri="{CE6537A1-D6FC-4f65-9D91-7224C49458BB}"/>
              </c:extLst>
            </c:dLbl>
            <c:dLbl>
              <c:idx val="5"/>
              <c:tx>
                <c:rich>
                  <a:bodyPr/>
                  <a:lstStyle/>
                  <a:p>
                    <a:r>
                      <a:rPr lang="ru-RU"/>
                      <a:t>Землі оборони 6,4</a:t>
                    </a:r>
                  </a:p>
                </c:rich>
              </c:tx>
              <c:showLegendKey val="0"/>
              <c:showVal val="1"/>
              <c:showCatName val="1"/>
              <c:showSerName val="0"/>
              <c:showPercent val="0"/>
              <c:showBubbleSize val="0"/>
              <c:extLst>
                <c:ext xmlns:c15="http://schemas.microsoft.com/office/drawing/2012/chart" uri="{CE6537A1-D6FC-4f65-9D91-7224C49458BB}"/>
              </c:extLst>
            </c:dLbl>
            <c:dLbl>
              <c:idx val="6"/>
              <c:layout>
                <c:manualLayout>
                  <c:x val="-0.11663840870465909"/>
                  <c:y val="1.8039629556870669E-2"/>
                </c:manualLayout>
              </c:layout>
              <c:tx>
                <c:rich>
                  <a:bodyPr/>
                  <a:lstStyle/>
                  <a:p>
                    <a:r>
                      <a:rPr lang="ru-RU"/>
                      <a:t>Землі лісогосподарських підприємств - 0,4</a:t>
                    </a:r>
                  </a:p>
                </c:rich>
              </c:tx>
              <c:showLegendKey val="0"/>
              <c:showVal val="1"/>
              <c:showCatName val="1"/>
              <c:showSerName val="0"/>
              <c:showPercent val="0"/>
              <c:showBubbleSize val="0"/>
              <c:extLst>
                <c:ext xmlns:c15="http://schemas.microsoft.com/office/drawing/2012/chart" uri="{CE6537A1-D6FC-4f65-9D91-7224C49458BB}"/>
              </c:extLst>
            </c:dLbl>
            <c:dLbl>
              <c:idx val="7"/>
              <c:layout>
                <c:manualLayout>
                  <c:x val="-0.31387596665359807"/>
                  <c:y val="-2.175474291860241E-2"/>
                </c:manualLayout>
              </c:layout>
              <c:tx>
                <c:rich>
                  <a:bodyPr/>
                  <a:lstStyle/>
                  <a:p>
                    <a:r>
                      <a:rPr lang="ru-RU"/>
                      <a:t>Землі водогосподарських підприємств</a:t>
                    </a:r>
                    <a:r>
                      <a:rPr lang="ru-RU" baseline="0"/>
                      <a:t> -</a:t>
                    </a:r>
                    <a:r>
                      <a:rPr lang="ru-RU"/>
                      <a:t> 0,5</a:t>
                    </a:r>
                  </a:p>
                </c:rich>
              </c:tx>
              <c:showLegendKey val="0"/>
              <c:showVal val="1"/>
              <c:showCatName val="1"/>
              <c:showSerName val="0"/>
              <c:showPercent val="0"/>
              <c:showBubbleSize val="0"/>
              <c:extLst>
                <c:ext xmlns:c15="http://schemas.microsoft.com/office/drawing/2012/chart" uri="{CE6537A1-D6FC-4f65-9D91-7224C49458BB}"/>
              </c:extLst>
            </c:dLbl>
            <c:dLbl>
              <c:idx val="8"/>
              <c:tx>
                <c:rich>
                  <a:bodyPr/>
                  <a:lstStyle/>
                  <a:p>
                    <a:r>
                      <a:rPr lang="ru-RU"/>
                      <a:t>Землі у власності і користуванні громадян</a:t>
                    </a:r>
                    <a:r>
                      <a:rPr lang="ru-RU" baseline="0"/>
                      <a:t> -</a:t>
                    </a:r>
                    <a:r>
                      <a:rPr lang="ru-RU"/>
                      <a:t>34,0</a:t>
                    </a:r>
                  </a:p>
                </c:rich>
              </c:tx>
              <c:showLegendKey val="0"/>
              <c:showVal val="1"/>
              <c:showCatName val="1"/>
              <c:showSerName val="0"/>
              <c:showPercent val="0"/>
              <c:showBubbleSize val="0"/>
              <c:extLst>
                <c:ext xmlns:c15="http://schemas.microsoft.com/office/drawing/2012/chart" uri="{CE6537A1-D6FC-4f65-9D91-7224C49458BB}"/>
              </c:extLst>
            </c:dLbl>
            <c:dLbl>
              <c:idx val="9"/>
              <c:layout>
                <c:manualLayout>
                  <c:x val="-2.5116601804084787E-2"/>
                  <c:y val="0.10783685593259409"/>
                </c:manualLayout>
              </c:layout>
              <c:tx>
                <c:rich>
                  <a:bodyPr/>
                  <a:lstStyle/>
                  <a:p>
                    <a:r>
                      <a:rPr lang="ru-RU"/>
                      <a:t>Землі спільних підприємств</a:t>
                    </a:r>
                    <a:r>
                      <a:rPr lang="ru-RU" baseline="0"/>
                      <a:t> - </a:t>
                    </a:r>
                    <a:r>
                      <a:rPr lang="ru-RU"/>
                      <a:t>0,1</a:t>
                    </a:r>
                  </a:p>
                </c:rich>
              </c:tx>
              <c:showLegendKey val="0"/>
              <c:showVal val="1"/>
              <c:showCatName val="1"/>
              <c:showSerName val="0"/>
              <c:showPercent val="0"/>
              <c:showBubbleSize val="0"/>
              <c:extLst>
                <c:ext xmlns:c15="http://schemas.microsoft.com/office/drawing/2012/chart" uri="{CE6537A1-D6FC-4f65-9D91-7224C49458BB}"/>
              </c:extLst>
            </c:dLbl>
            <c:dLbl>
              <c:idx val="10"/>
              <c:layout>
                <c:manualLayout>
                  <c:x val="-3.5645659235124381E-2"/>
                  <c:y val="-1.886691678599943E-2"/>
                </c:manualLayout>
              </c:layout>
              <c:tx>
                <c:rich>
                  <a:bodyPr/>
                  <a:lstStyle/>
                  <a:p>
                    <a:r>
                      <a:rPr lang="ru-RU"/>
                      <a:t> Землі, не надані у власність та постійне користування</a:t>
                    </a:r>
                    <a:r>
                      <a:rPr lang="ru-RU" baseline="0"/>
                      <a:t> - </a:t>
                    </a:r>
                    <a:r>
                      <a:rPr lang="ru-RU"/>
                      <a:t>6,2</a:t>
                    </a:r>
                  </a:p>
                </c:rich>
              </c:tx>
              <c:showLegendKey val="0"/>
              <c:showVal val="1"/>
              <c:showCatName val="1"/>
              <c:showSerName val="0"/>
              <c:showPercent val="0"/>
              <c:showBubbleSize val="0"/>
              <c:extLst>
                <c:ext xmlns:c15="http://schemas.microsoft.com/office/drawing/2012/chart" uri="{CE6537A1-D6FC-4f65-9D91-7224C49458BB}"/>
              </c:extLst>
            </c:dLbl>
            <c:dLbl>
              <c:idx val="11"/>
              <c:layout>
                <c:manualLayout>
                  <c:x val="6.306673204311114E-2"/>
                  <c:y val="-3.4166948093113892E-3"/>
                </c:manualLayout>
              </c:layout>
              <c:tx>
                <c:rich>
                  <a:bodyPr/>
                  <a:lstStyle/>
                  <a:p>
                    <a:r>
                      <a:rPr lang="ru-RU"/>
                      <a:t>Землі загального користування</a:t>
                    </a:r>
                    <a:r>
                      <a:rPr lang="ru-RU" baseline="0"/>
                      <a:t> </a:t>
                    </a:r>
                    <a:r>
                      <a:rPr lang="ru-RU"/>
                      <a:t> 11,7</a:t>
                    </a:r>
                  </a:p>
                </c:rich>
              </c:tx>
              <c:showLegendKey val="0"/>
              <c:showVal val="1"/>
              <c:showCatName val="1"/>
              <c:showSerName val="0"/>
              <c:showPercent val="0"/>
              <c:showBubbleSize val="0"/>
              <c:extLst>
                <c:ext xmlns:c15="http://schemas.microsoft.com/office/drawing/2012/chart" uri="{CE6537A1-D6FC-4f65-9D91-7224C49458BB}"/>
              </c:extLst>
            </c:dLbl>
            <c:spPr>
              <a:noFill/>
              <a:ln>
                <a:noFill/>
              </a:ln>
              <a:effectLst/>
            </c:spPr>
            <c:txPr>
              <a:bodyPr/>
              <a:lstStyle/>
              <a:p>
                <a:pPr>
                  <a:defRPr sz="900" b="1"/>
                </a:pPr>
                <a:endParaRPr lang="ru-RU"/>
              </a:p>
            </c:txPr>
            <c:showLegendKey val="0"/>
            <c:showVal val="1"/>
            <c:showCatName val="1"/>
            <c:showSerName val="0"/>
            <c:showPercent val="0"/>
            <c:showBubbleSize val="0"/>
            <c:showLeaderLines val="1"/>
            <c:extLst>
              <c:ext xmlns:c15="http://schemas.microsoft.com/office/drawing/2012/chart" uri="{CE6537A1-D6FC-4f65-9D91-7224C49458BB}"/>
            </c:extLst>
          </c:dLbls>
          <c:cat>
            <c:strRef>
              <c:f>Лист1!$A$205:$A$216</c:f>
              <c:strCache>
                <c:ptCount val="12"/>
                <c:pt idx="0">
                  <c:v>Землі сільськогосподарських підприємств</c:v>
                </c:pt>
                <c:pt idx="1">
                  <c:v>Землі організацій, підприємств і установ природоохоронного, оздоровчого, рекреаційного та історико-культурного призначення</c:v>
                </c:pt>
                <c:pt idx="2">
                  <c:v>Землі закладів, установ та організацій</c:v>
                </c:pt>
                <c:pt idx="3">
                  <c:v>Землі промислових та інших підприємств</c:v>
                </c:pt>
                <c:pt idx="4">
                  <c:v>Землі підприємств та організацій транспорту та зв'язку</c:v>
                </c:pt>
                <c:pt idx="5">
                  <c:v>Землі оборони</c:v>
                </c:pt>
                <c:pt idx="6">
                  <c:v>Землі сільськогосподарських підприємств</c:v>
                </c:pt>
                <c:pt idx="7">
                  <c:v>Землі водогосподарських підприємств</c:v>
                </c:pt>
                <c:pt idx="8">
                  <c:v>Землі у власності і користуванні громадян</c:v>
                </c:pt>
                <c:pt idx="9">
                  <c:v>Землі спільних підприємств</c:v>
                </c:pt>
                <c:pt idx="10">
                  <c:v> Землі, не надані у власність та постійне користування</c:v>
                </c:pt>
                <c:pt idx="11">
                  <c:v>Землі загального користування</c:v>
                </c:pt>
              </c:strCache>
            </c:strRef>
          </c:cat>
          <c:val>
            <c:numRef>
              <c:f>Лист1!$B$205:$B$216</c:f>
              <c:numCache>
                <c:formatCode>General</c:formatCode>
                <c:ptCount val="12"/>
                <c:pt idx="0">
                  <c:v>3</c:v>
                </c:pt>
                <c:pt idx="1">
                  <c:v>1.8</c:v>
                </c:pt>
                <c:pt idx="2">
                  <c:v>19.600000000000001</c:v>
                </c:pt>
                <c:pt idx="3">
                  <c:v>10.8</c:v>
                </c:pt>
                <c:pt idx="4">
                  <c:v>5.5</c:v>
                </c:pt>
                <c:pt idx="5">
                  <c:v>6.4</c:v>
                </c:pt>
                <c:pt idx="6">
                  <c:v>0.4</c:v>
                </c:pt>
                <c:pt idx="7">
                  <c:v>0.5</c:v>
                </c:pt>
                <c:pt idx="8" formatCode="0.0">
                  <c:v>34</c:v>
                </c:pt>
                <c:pt idx="9">
                  <c:v>0.1</c:v>
                </c:pt>
                <c:pt idx="10">
                  <c:v>6.2</c:v>
                </c:pt>
                <c:pt idx="11">
                  <c:v>11.7</c:v>
                </c:pt>
              </c:numCache>
            </c:numRef>
          </c:val>
        </c:ser>
        <c:dLbls>
          <c:showLegendKey val="0"/>
          <c:showVal val="0"/>
          <c:showCatName val="0"/>
          <c:showSerName val="0"/>
          <c:showPercent val="0"/>
          <c:showBubbleSize val="0"/>
          <c:showLeaderLines val="1"/>
        </c:dLbls>
        <c:firstSliceAng val="0"/>
      </c:pieChart>
    </c:plotArea>
    <c:plotVisOnly val="1"/>
    <c:dispBlanksAs val="zero"/>
    <c:showDLblsOverMax val="0"/>
  </c:chart>
  <c:spPr>
    <a:ln>
      <a:noFill/>
    </a:ln>
  </c:sp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uk-UA" sz="1200">
                <a:latin typeface="Times New Roman" pitchFamily="18" charset="0"/>
                <a:cs typeface="Times New Roman" pitchFamily="18" charset="0"/>
              </a:rPr>
              <a:t>Кількість переданих в оренду земельних ділянок, од</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2.111402741324001E-3"/>
          <c:y val="0.23535228677379491"/>
          <c:w val="0.99788859725867596"/>
          <c:h val="0.53255871446229919"/>
        </c:manualLayout>
      </c:layout>
      <c:bar3DChart>
        <c:barDir val="col"/>
        <c:grouping val="clustered"/>
        <c:varyColors val="0"/>
        <c:ser>
          <c:idx val="0"/>
          <c:order val="0"/>
          <c:tx>
            <c:strRef>
              <c:f>Лист1!$A$6</c:f>
              <c:strCache>
                <c:ptCount val="1"/>
                <c:pt idx="0">
                  <c:v>кількість переданих в оренду земельних ділянок</c:v>
                </c:pt>
              </c:strCache>
            </c:strRef>
          </c:tx>
          <c:invertIfNegative val="0"/>
          <c:dLbls>
            <c:dLbl>
              <c:idx val="0"/>
              <c:layout>
                <c:manualLayout>
                  <c:x val="1.6666666666666701E-2"/>
                  <c:y val="-1.851851851851858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3888888888889025E-2"/>
                  <c:y val="-1.851851851851858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8.3333333333333367E-3"/>
                  <c:y val="-1.388888888888902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8.3333333333333367E-3"/>
                  <c:y val="-1.851851851851858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Лист1!$B$5:$F$5</c:f>
              <c:strCache>
                <c:ptCount val="4"/>
                <c:pt idx="0">
                  <c:v>2014 рік</c:v>
                </c:pt>
                <c:pt idx="1">
                  <c:v>2015 рік</c:v>
                </c:pt>
                <c:pt idx="2">
                  <c:v>2016 рік</c:v>
                </c:pt>
                <c:pt idx="3">
                  <c:v>9 міс. 2017 року</c:v>
                </c:pt>
              </c:strCache>
            </c:strRef>
          </c:cat>
          <c:val>
            <c:numRef>
              <c:f>Лист1!$B$6:$F$6</c:f>
              <c:numCache>
                <c:formatCode>General</c:formatCode>
                <c:ptCount val="5"/>
                <c:pt idx="0">
                  <c:v>150</c:v>
                </c:pt>
                <c:pt idx="1">
                  <c:v>30</c:v>
                </c:pt>
                <c:pt idx="2">
                  <c:v>49</c:v>
                </c:pt>
                <c:pt idx="3">
                  <c:v>39</c:v>
                </c:pt>
              </c:numCache>
            </c:numRef>
          </c:val>
        </c:ser>
        <c:dLbls>
          <c:showLegendKey val="0"/>
          <c:showVal val="0"/>
          <c:showCatName val="0"/>
          <c:showSerName val="0"/>
          <c:showPercent val="0"/>
          <c:showBubbleSize val="0"/>
        </c:dLbls>
        <c:gapWidth val="150"/>
        <c:shape val="cylinder"/>
        <c:axId val="423756792"/>
        <c:axId val="423757576"/>
        <c:axId val="0"/>
      </c:bar3DChart>
      <c:catAx>
        <c:axId val="423756792"/>
        <c:scaling>
          <c:orientation val="minMax"/>
        </c:scaling>
        <c:delete val="0"/>
        <c:axPos val="b"/>
        <c:numFmt formatCode="General" sourceLinked="0"/>
        <c:majorTickMark val="out"/>
        <c:minorTickMark val="none"/>
        <c:tickLblPos val="nextTo"/>
        <c:txPr>
          <a:bodyPr/>
          <a:lstStyle/>
          <a:p>
            <a:pPr>
              <a:defRPr sz="1000" b="1">
                <a:latin typeface="Times New Roman" pitchFamily="18" charset="0"/>
                <a:cs typeface="Times New Roman" pitchFamily="18" charset="0"/>
              </a:defRPr>
            </a:pPr>
            <a:endParaRPr lang="ru-RU"/>
          </a:p>
        </c:txPr>
        <c:crossAx val="423757576"/>
        <c:crosses val="autoZero"/>
        <c:auto val="1"/>
        <c:lblAlgn val="ctr"/>
        <c:lblOffset val="100"/>
        <c:noMultiLvlLbl val="0"/>
      </c:catAx>
      <c:valAx>
        <c:axId val="423757576"/>
        <c:scaling>
          <c:orientation val="minMax"/>
        </c:scaling>
        <c:delete val="1"/>
        <c:axPos val="l"/>
        <c:numFmt formatCode="General" sourceLinked="1"/>
        <c:majorTickMark val="out"/>
        <c:minorTickMark val="none"/>
        <c:tickLblPos val="none"/>
        <c:crossAx val="423756792"/>
        <c:crosses val="autoZero"/>
        <c:crossBetween val="between"/>
      </c:valAx>
    </c:plotArea>
    <c:plotVisOnly val="1"/>
    <c:dispBlanksAs val="gap"/>
    <c:showDLblsOverMax val="0"/>
  </c:chart>
  <c:spPr>
    <a:ln>
      <a:noFill/>
    </a:ln>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ru-RU"/>
              <a:t>Площа переданих в оренду земельних ділянок</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3.0555555555555555E-2"/>
          <c:y val="0.16017897091722594"/>
          <c:w val="0.96666666666666667"/>
          <c:h val="0.664295654318378"/>
        </c:manualLayout>
      </c:layout>
      <c:bar3DChart>
        <c:barDir val="col"/>
        <c:grouping val="clustered"/>
        <c:varyColors val="0"/>
        <c:ser>
          <c:idx val="0"/>
          <c:order val="0"/>
          <c:tx>
            <c:strRef>
              <c:f>Лист1!$A$15</c:f>
              <c:strCache>
                <c:ptCount val="1"/>
                <c:pt idx="0">
                  <c:v>Площа, переданих в оренду земельних ділянок</c:v>
                </c:pt>
              </c:strCache>
            </c:strRef>
          </c:tx>
          <c:invertIfNegative val="0"/>
          <c:dLbls>
            <c:dLbl>
              <c:idx val="0"/>
              <c:layout>
                <c:manualLayout>
                  <c:x val="2.5000000000000001E-2"/>
                  <c:y val="-2.314814814814814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00000000000005E-2"/>
                  <c:y val="-1.851851851851860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222222222222223E-2"/>
                  <c:y val="-2.3148148148148147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9444444444444344E-2"/>
                  <c:y val="-3.240740740740740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Лист1!$B$14:$E$14</c:f>
              <c:strCache>
                <c:ptCount val="4"/>
                <c:pt idx="0">
                  <c:v>2014 рік</c:v>
                </c:pt>
                <c:pt idx="1">
                  <c:v>2015 рік</c:v>
                </c:pt>
                <c:pt idx="2">
                  <c:v>2016 рік</c:v>
                </c:pt>
                <c:pt idx="3">
                  <c:v>9 міс. 2017 року</c:v>
                </c:pt>
              </c:strCache>
            </c:strRef>
          </c:cat>
          <c:val>
            <c:numRef>
              <c:f>Лист1!$B$15:$E$15</c:f>
              <c:numCache>
                <c:formatCode>0.0</c:formatCode>
                <c:ptCount val="4"/>
                <c:pt idx="0" formatCode="General">
                  <c:v>75.2</c:v>
                </c:pt>
                <c:pt idx="1">
                  <c:v>10</c:v>
                </c:pt>
                <c:pt idx="2" formatCode="General">
                  <c:v>10.1</c:v>
                </c:pt>
                <c:pt idx="3" formatCode="General">
                  <c:v>10.3</c:v>
                </c:pt>
              </c:numCache>
            </c:numRef>
          </c:val>
        </c:ser>
        <c:dLbls>
          <c:showLegendKey val="0"/>
          <c:showVal val="0"/>
          <c:showCatName val="0"/>
          <c:showSerName val="0"/>
          <c:showPercent val="0"/>
          <c:showBubbleSize val="0"/>
        </c:dLbls>
        <c:gapWidth val="150"/>
        <c:shape val="cylinder"/>
        <c:axId val="423758360"/>
        <c:axId val="423768552"/>
        <c:axId val="0"/>
      </c:bar3DChart>
      <c:catAx>
        <c:axId val="423758360"/>
        <c:scaling>
          <c:orientation val="minMax"/>
        </c:scaling>
        <c:delete val="0"/>
        <c:axPos val="b"/>
        <c:numFmt formatCode="General" sourceLinked="0"/>
        <c:majorTickMark val="out"/>
        <c:minorTickMark val="none"/>
        <c:tickLblPos val="nextTo"/>
        <c:txPr>
          <a:bodyPr/>
          <a:lstStyle/>
          <a:p>
            <a:pPr>
              <a:defRPr sz="1000" b="1" baseline="0">
                <a:latin typeface="Times New Roman" pitchFamily="18" charset="0"/>
                <a:cs typeface="Times New Roman" pitchFamily="18" charset="0"/>
              </a:defRPr>
            </a:pPr>
            <a:endParaRPr lang="ru-RU"/>
          </a:p>
        </c:txPr>
        <c:crossAx val="423768552"/>
        <c:crosses val="autoZero"/>
        <c:auto val="1"/>
        <c:lblAlgn val="ctr"/>
        <c:lblOffset val="100"/>
        <c:noMultiLvlLbl val="0"/>
      </c:catAx>
      <c:valAx>
        <c:axId val="423768552"/>
        <c:scaling>
          <c:orientation val="minMax"/>
        </c:scaling>
        <c:delete val="1"/>
        <c:axPos val="l"/>
        <c:numFmt formatCode="General" sourceLinked="1"/>
        <c:majorTickMark val="out"/>
        <c:minorTickMark val="none"/>
        <c:tickLblPos val="nextTo"/>
        <c:crossAx val="423758360"/>
        <c:crosses val="autoZero"/>
        <c:crossBetween val="between"/>
      </c:valAx>
    </c:plotArea>
    <c:plotVisOnly val="1"/>
    <c:dispBlanksAs val="gap"/>
    <c:showDLblsOverMax val="0"/>
  </c:chart>
  <c:spPr>
    <a:ln>
      <a:noFill/>
    </a:ln>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latin typeface="Times New Roman" pitchFamily="18" charset="0"/>
                <a:cs typeface="Times New Roman" pitchFamily="18" charset="0"/>
              </a:defRPr>
            </a:pPr>
            <a:r>
              <a:rPr lang="uk-UA" sz="1100">
                <a:latin typeface="Times New Roman" pitchFamily="18" charset="0"/>
                <a:cs typeface="Times New Roman" pitchFamily="18" charset="0"/>
              </a:rPr>
              <a:t>Кількість проданих земельних ділянок, на яких розташовані об'єкти нерухомого майна, од.</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
          <c:y val="0.21885057471264369"/>
          <c:w val="1"/>
          <c:h val="0.61820689655172834"/>
        </c:manualLayout>
      </c:layout>
      <c:bar3DChart>
        <c:barDir val="col"/>
        <c:grouping val="clustered"/>
        <c:varyColors val="0"/>
        <c:ser>
          <c:idx val="0"/>
          <c:order val="0"/>
          <c:tx>
            <c:strRef>
              <c:f>Лист1!$A$23</c:f>
              <c:strCache>
                <c:ptCount val="1"/>
                <c:pt idx="0">
                  <c:v>Кількість проданих земельних ділянок, на яких розташовані об'єкти нерухомого майна , од.</c:v>
                </c:pt>
              </c:strCache>
            </c:strRef>
          </c:tx>
          <c:invertIfNegative val="0"/>
          <c:dLbls>
            <c:dLbl>
              <c:idx val="0"/>
              <c:layout>
                <c:manualLayout>
                  <c:x val="2.7777777777778494E-3"/>
                  <c:y val="-1.388888888888902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3888888888889025E-2"/>
                  <c:y val="-2.314814814814814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1111111111111125E-2"/>
                  <c:y val="-3.240740740740772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1111111111111125E-2"/>
                  <c:y val="-2.314814814814814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Лист1!$B$22:$E$22</c:f>
              <c:strCache>
                <c:ptCount val="4"/>
                <c:pt idx="0">
                  <c:v>2014 рік</c:v>
                </c:pt>
                <c:pt idx="1">
                  <c:v>2015 рік</c:v>
                </c:pt>
                <c:pt idx="2">
                  <c:v>2016 рік</c:v>
                </c:pt>
                <c:pt idx="3">
                  <c:v>9 міс. 2017 року</c:v>
                </c:pt>
              </c:strCache>
            </c:strRef>
          </c:cat>
          <c:val>
            <c:numRef>
              <c:f>Лист1!$B$23:$E$23</c:f>
              <c:numCache>
                <c:formatCode>General</c:formatCode>
                <c:ptCount val="4"/>
                <c:pt idx="0">
                  <c:v>36</c:v>
                </c:pt>
                <c:pt idx="1">
                  <c:v>7</c:v>
                </c:pt>
                <c:pt idx="2">
                  <c:v>10</c:v>
                </c:pt>
                <c:pt idx="3">
                  <c:v>11</c:v>
                </c:pt>
              </c:numCache>
            </c:numRef>
          </c:val>
        </c:ser>
        <c:dLbls>
          <c:showLegendKey val="0"/>
          <c:showVal val="0"/>
          <c:showCatName val="0"/>
          <c:showSerName val="0"/>
          <c:showPercent val="0"/>
          <c:showBubbleSize val="0"/>
        </c:dLbls>
        <c:gapWidth val="150"/>
        <c:shape val="cylinder"/>
        <c:axId val="423771296"/>
        <c:axId val="423770904"/>
        <c:axId val="0"/>
      </c:bar3DChart>
      <c:catAx>
        <c:axId val="423771296"/>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423770904"/>
        <c:crosses val="autoZero"/>
        <c:auto val="1"/>
        <c:lblAlgn val="ctr"/>
        <c:lblOffset val="100"/>
        <c:noMultiLvlLbl val="0"/>
      </c:catAx>
      <c:valAx>
        <c:axId val="423770904"/>
        <c:scaling>
          <c:orientation val="minMax"/>
        </c:scaling>
        <c:delete val="1"/>
        <c:axPos val="l"/>
        <c:numFmt formatCode="General" sourceLinked="1"/>
        <c:majorTickMark val="out"/>
        <c:minorTickMark val="none"/>
        <c:tickLblPos val="none"/>
        <c:crossAx val="423771296"/>
        <c:crosses val="autoZero"/>
        <c:crossBetween val="between"/>
      </c:valAx>
    </c:plotArea>
    <c:plotVisOnly val="1"/>
    <c:dispBlanksAs val="gap"/>
    <c:showDLblsOverMax val="0"/>
  </c:chart>
  <c:spPr>
    <a:ln>
      <a:noFill/>
    </a:ln>
  </c:sp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200">
              <a:latin typeface="Times New Roman" pitchFamily="18" charset="0"/>
              <a:cs typeface="Times New Roman" pitchFamily="18" charset="0"/>
            </a:defRPr>
          </a:pPr>
          <a:endParaRPr lang="ru-RU"/>
        </a:p>
      </c:txPr>
    </c:title>
    <c:autoTitleDeleted val="0"/>
    <c:view3D>
      <c:rotX val="15"/>
      <c:rotY val="20"/>
      <c:rAngAx val="1"/>
    </c:view3D>
    <c:floor>
      <c:thickness val="0"/>
    </c:floor>
    <c:sideWall>
      <c:thickness val="0"/>
    </c:sideWall>
    <c:backWall>
      <c:thickness val="0"/>
    </c:backWall>
    <c:plotArea>
      <c:layout>
        <c:manualLayout>
          <c:layoutTarget val="inner"/>
          <c:xMode val="edge"/>
          <c:yMode val="edge"/>
          <c:x val="4.1279669762641896E-3"/>
          <c:y val="0.29030732860520092"/>
          <c:w val="0.99587203302373584"/>
          <c:h val="0.48775413711583926"/>
        </c:manualLayout>
      </c:layout>
      <c:bar3DChart>
        <c:barDir val="col"/>
        <c:grouping val="clustered"/>
        <c:varyColors val="0"/>
        <c:ser>
          <c:idx val="0"/>
          <c:order val="0"/>
          <c:tx>
            <c:strRef>
              <c:f>Лист1!$A$29</c:f>
              <c:strCache>
                <c:ptCount val="1"/>
                <c:pt idx="0">
                  <c:v>Площа проданих земельних ділянок, на яких розташовані об'єкти нерухомого майна, га</c:v>
                </c:pt>
              </c:strCache>
            </c:strRef>
          </c:tx>
          <c:invertIfNegative val="0"/>
          <c:dLbls>
            <c:dLbl>
              <c:idx val="0"/>
              <c:layout>
                <c:manualLayout>
                  <c:x val="1.1111111111111136E-2"/>
                  <c:y val="-1.851851851851851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111111111111112E-2"/>
                  <c:y val="-2.314814814814814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8.3333333333333332E-3"/>
                  <c:y val="-1.3888888888888888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2222222222222223E-2"/>
                  <c:y val="-1.851851851851851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Лист1!$B$28:$E$28</c:f>
              <c:strCache>
                <c:ptCount val="4"/>
                <c:pt idx="0">
                  <c:v>2014 рік</c:v>
                </c:pt>
                <c:pt idx="1">
                  <c:v>2015 рік</c:v>
                </c:pt>
                <c:pt idx="2">
                  <c:v>2016 рік</c:v>
                </c:pt>
                <c:pt idx="3">
                  <c:v>9 міс. 2017 року</c:v>
                </c:pt>
              </c:strCache>
            </c:strRef>
          </c:cat>
          <c:val>
            <c:numRef>
              <c:f>Лист1!$B$29:$E$29</c:f>
              <c:numCache>
                <c:formatCode>General</c:formatCode>
                <c:ptCount val="4"/>
                <c:pt idx="0">
                  <c:v>8.6</c:v>
                </c:pt>
                <c:pt idx="1">
                  <c:v>2.4</c:v>
                </c:pt>
                <c:pt idx="2">
                  <c:v>3.8</c:v>
                </c:pt>
                <c:pt idx="3">
                  <c:v>0.9</c:v>
                </c:pt>
              </c:numCache>
            </c:numRef>
          </c:val>
        </c:ser>
        <c:dLbls>
          <c:showLegendKey val="0"/>
          <c:showVal val="0"/>
          <c:showCatName val="0"/>
          <c:showSerName val="0"/>
          <c:showPercent val="0"/>
          <c:showBubbleSize val="0"/>
        </c:dLbls>
        <c:gapWidth val="150"/>
        <c:shape val="cylinder"/>
        <c:axId val="423763456"/>
        <c:axId val="423772864"/>
        <c:axId val="0"/>
      </c:bar3DChart>
      <c:catAx>
        <c:axId val="423763456"/>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423772864"/>
        <c:crosses val="autoZero"/>
        <c:auto val="1"/>
        <c:lblAlgn val="ctr"/>
        <c:lblOffset val="100"/>
        <c:noMultiLvlLbl val="0"/>
      </c:catAx>
      <c:valAx>
        <c:axId val="423772864"/>
        <c:scaling>
          <c:orientation val="minMax"/>
        </c:scaling>
        <c:delete val="1"/>
        <c:axPos val="l"/>
        <c:numFmt formatCode="General" sourceLinked="1"/>
        <c:majorTickMark val="out"/>
        <c:minorTickMark val="none"/>
        <c:tickLblPos val="nextTo"/>
        <c:crossAx val="423763456"/>
        <c:crosses val="autoZero"/>
        <c:crossBetween val="between"/>
      </c:valAx>
    </c:plotArea>
    <c:plotVisOnly val="1"/>
    <c:dispBlanksAs val="gap"/>
    <c:showDLblsOverMax val="0"/>
  </c:chart>
  <c:spPr>
    <a:ln>
      <a:noFill/>
    </a:ln>
  </c:sp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Житловий фонд міста,</a:t>
            </a:r>
            <a:r>
              <a:rPr lang="ru-RU" sz="1200" baseline="0">
                <a:latin typeface="Times New Roman" pitchFamily="18" charset="0"/>
                <a:cs typeface="Times New Roman" pitchFamily="18" charset="0"/>
              </a:rPr>
              <a:t> од.</a:t>
            </a:r>
            <a:endParaRPr lang="ru-RU" sz="1200">
              <a:latin typeface="Times New Roman" pitchFamily="18" charset="0"/>
              <a:cs typeface="Times New Roman" pitchFamily="18" charset="0"/>
            </a:endParaRPr>
          </a:p>
        </c:rich>
      </c:tx>
      <c:overlay val="0"/>
    </c:title>
    <c:autoTitleDeleted val="0"/>
    <c:plotArea>
      <c:layout/>
      <c:pieChart>
        <c:varyColors val="1"/>
        <c:ser>
          <c:idx val="0"/>
          <c:order val="0"/>
          <c:dLbls>
            <c:spPr>
              <a:noFill/>
              <a:ln>
                <a:noFill/>
              </a:ln>
              <a:effectLst/>
            </c:spPr>
            <c:txPr>
              <a:bodyPr/>
              <a:lstStyle/>
              <a:p>
                <a:pPr>
                  <a:defRPr sz="1100" b="1"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Лист1!$A$72:$A$76</c:f>
              <c:strCache>
                <c:ptCount val="5"/>
                <c:pt idx="0">
                  <c:v>Будинки комунальної власності</c:v>
                </c:pt>
                <c:pt idx="1">
                  <c:v>Будинки у власності ОСББ</c:v>
                </c:pt>
                <c:pt idx="2">
                  <c:v>Будинки житлово-будівельних кооперативів</c:v>
                </c:pt>
                <c:pt idx="3">
                  <c:v>Гуртожитки</c:v>
                </c:pt>
                <c:pt idx="4">
                  <c:v>Будинки приватної забудови</c:v>
                </c:pt>
              </c:strCache>
            </c:strRef>
          </c:cat>
          <c:val>
            <c:numRef>
              <c:f>Лист1!$B$72:$B$76</c:f>
              <c:numCache>
                <c:formatCode>General</c:formatCode>
                <c:ptCount val="5"/>
                <c:pt idx="0">
                  <c:v>1196</c:v>
                </c:pt>
                <c:pt idx="1">
                  <c:v>274</c:v>
                </c:pt>
                <c:pt idx="2">
                  <c:v>80</c:v>
                </c:pt>
                <c:pt idx="3">
                  <c:v>64</c:v>
                </c:pt>
                <c:pt idx="4">
                  <c:v>12961</c:v>
                </c:pt>
              </c:numCache>
            </c:numRef>
          </c:val>
        </c:ser>
        <c:dLbls>
          <c:showLegendKey val="0"/>
          <c:showVal val="0"/>
          <c:showCatName val="0"/>
          <c:showSerName val="0"/>
          <c:showPercent val="0"/>
          <c:showBubbleSize val="0"/>
          <c:showLeaderLines val="1"/>
        </c:dLbls>
        <c:firstSliceAng val="0"/>
      </c:pieChart>
    </c:plotArea>
    <c:legend>
      <c:legendPos val="r"/>
      <c:layout>
        <c:manualLayout>
          <c:xMode val="edge"/>
          <c:yMode val="edge"/>
          <c:x val="0.58853615920488322"/>
          <c:y val="0.16885766817218914"/>
          <c:w val="0.37137602396242259"/>
          <c:h val="0.79399305855998759"/>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Кількість створених ОСББ,</a:t>
            </a:r>
            <a:r>
              <a:rPr lang="ru-RU" sz="1200" baseline="0">
                <a:latin typeface="Times New Roman" pitchFamily="18" charset="0"/>
                <a:cs typeface="Times New Roman" pitchFamily="18" charset="0"/>
              </a:rPr>
              <a:t> од</a:t>
            </a:r>
            <a:endParaRPr lang="ru-RU" sz="1200">
              <a:latin typeface="Times New Roman" pitchFamily="18" charset="0"/>
              <a:cs typeface="Times New Roman" pitchFamily="18" charset="0"/>
            </a:endParaRPr>
          </a:p>
        </c:rich>
      </c:tx>
      <c:layout>
        <c:manualLayout>
          <c:xMode val="edge"/>
          <c:yMode val="edge"/>
          <c:x val="0.20863958296374133"/>
          <c:y val="0"/>
        </c:manualLayout>
      </c:layout>
      <c:overlay val="0"/>
    </c:title>
    <c:autoTitleDeleted val="0"/>
    <c:plotArea>
      <c:layout>
        <c:manualLayout>
          <c:layoutTarget val="inner"/>
          <c:xMode val="edge"/>
          <c:yMode val="edge"/>
          <c:x val="1.2765890676708887E-2"/>
          <c:y val="0.15127272727272728"/>
          <c:w val="0.94910589980600268"/>
          <c:h val="0.70414738234056662"/>
        </c:manualLayout>
      </c:layout>
      <c:lineChart>
        <c:grouping val="standard"/>
        <c:varyColors val="0"/>
        <c:ser>
          <c:idx val="0"/>
          <c:order val="0"/>
          <c:dLbls>
            <c:dLbl>
              <c:idx val="0"/>
              <c:layout>
                <c:manualLayout>
                  <c:x val="-4.7919342185547817E-2"/>
                  <c:y val="-7.375062677586495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9444444444444434E-2"/>
                  <c:y val="-6.4814814814816338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666666666666668E-2"/>
                  <c:y val="-6.4814814814816366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6.2331057326322034E-2"/>
                  <c:y val="-6.242867335587043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Лист1!$B$6:$B$9</c:f>
              <c:strCache>
                <c:ptCount val="4"/>
                <c:pt idx="0">
                  <c:v>2014рік</c:v>
                </c:pt>
                <c:pt idx="1">
                  <c:v>2015 рік</c:v>
                </c:pt>
                <c:pt idx="2">
                  <c:v>2016 рік</c:v>
                </c:pt>
                <c:pt idx="3">
                  <c:v>6 міс. 2017 року</c:v>
                </c:pt>
              </c:strCache>
            </c:strRef>
          </c:cat>
          <c:val>
            <c:numRef>
              <c:f>Лист1!$C$6:$C$9</c:f>
              <c:numCache>
                <c:formatCode>General</c:formatCode>
                <c:ptCount val="4"/>
                <c:pt idx="0">
                  <c:v>56</c:v>
                </c:pt>
                <c:pt idx="1">
                  <c:v>71</c:v>
                </c:pt>
                <c:pt idx="2">
                  <c:v>214</c:v>
                </c:pt>
                <c:pt idx="3">
                  <c:v>240</c:v>
                </c:pt>
              </c:numCache>
            </c:numRef>
          </c:val>
          <c:smooth val="0"/>
        </c:ser>
        <c:dLbls>
          <c:showLegendKey val="0"/>
          <c:showVal val="0"/>
          <c:showCatName val="0"/>
          <c:showSerName val="0"/>
          <c:showPercent val="0"/>
          <c:showBubbleSize val="0"/>
        </c:dLbls>
        <c:marker val="1"/>
        <c:smooth val="0"/>
        <c:axId val="423771688"/>
        <c:axId val="423763848"/>
      </c:lineChart>
      <c:catAx>
        <c:axId val="423771688"/>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423763848"/>
        <c:crosses val="autoZero"/>
        <c:auto val="1"/>
        <c:lblAlgn val="ctr"/>
        <c:lblOffset val="100"/>
        <c:noMultiLvlLbl val="0"/>
      </c:catAx>
      <c:valAx>
        <c:axId val="423763848"/>
        <c:scaling>
          <c:orientation val="minMax"/>
        </c:scaling>
        <c:delete val="1"/>
        <c:axPos val="l"/>
        <c:numFmt formatCode="General" sourceLinked="1"/>
        <c:majorTickMark val="out"/>
        <c:minorTickMark val="none"/>
        <c:tickLblPos val="none"/>
        <c:crossAx val="423771688"/>
        <c:crosses val="autoZero"/>
        <c:crossBetween val="between"/>
      </c:valAx>
      <c:spPr>
        <a:noFill/>
        <a:ln w="25400">
          <a:noFill/>
        </a:ln>
      </c:spPr>
    </c:plotArea>
    <c:plotVisOnly val="1"/>
    <c:dispBlanksAs val="gap"/>
    <c:showDLblsOverMax val="0"/>
  </c:chart>
  <c:spPr>
    <a:ln>
      <a:noFill/>
    </a:ln>
  </c:sp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latin typeface="Times New Roman" pitchFamily="18" charset="0"/>
                <a:cs typeface="Times New Roman" pitchFamily="18" charset="0"/>
              </a:rPr>
              <a:t>Розподіл загальної площі житлового фонду міста за формами власності обслуговуючих організацій, тис.кв.м.</a:t>
            </a:r>
          </a:p>
        </c:rich>
      </c:tx>
      <c:overlay val="0"/>
    </c:title>
    <c:autoTitleDeleted val="0"/>
    <c:plotArea>
      <c:layout>
        <c:manualLayout>
          <c:layoutTarget val="inner"/>
          <c:xMode val="edge"/>
          <c:yMode val="edge"/>
          <c:x val="0.12278127734033255"/>
          <c:y val="0.28125"/>
          <c:w val="0.41736111111111118"/>
          <c:h val="0.6956018518518523"/>
        </c:manualLayout>
      </c:layout>
      <c:doughnutChart>
        <c:varyColors val="1"/>
        <c:ser>
          <c:idx val="0"/>
          <c:order val="0"/>
          <c:dLbls>
            <c:spPr>
              <a:noFill/>
              <a:ln>
                <a:noFill/>
              </a:ln>
              <a:effectLst/>
            </c:spPr>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Лист1!$A$94:$A$96</c:f>
              <c:strCache>
                <c:ptCount val="3"/>
                <c:pt idx="0">
                  <c:v>Загальна площа багатоповерхового житлового фонду комунальної власності</c:v>
                </c:pt>
                <c:pt idx="1">
                  <c:v>Загальна площа житлового фонду ОСББ</c:v>
                </c:pt>
                <c:pt idx="2">
                  <c:v>Загальна площа житлового фонду ЖБК</c:v>
                </c:pt>
              </c:strCache>
            </c:strRef>
          </c:cat>
          <c:val>
            <c:numRef>
              <c:f>Лист1!$B$94:$B$96</c:f>
              <c:numCache>
                <c:formatCode>0.0</c:formatCode>
                <c:ptCount val="3"/>
                <c:pt idx="0" formatCode="General">
                  <c:v>2569.1</c:v>
                </c:pt>
                <c:pt idx="1">
                  <c:v>1000</c:v>
                </c:pt>
                <c:pt idx="2" formatCode="General">
                  <c:v>373.7</c:v>
                </c:pt>
              </c:numCache>
            </c:numRef>
          </c:val>
        </c:ser>
        <c:dLbls>
          <c:showLegendKey val="0"/>
          <c:showVal val="0"/>
          <c:showCatName val="0"/>
          <c:showSerName val="0"/>
          <c:showPercent val="0"/>
          <c:showBubbleSize val="0"/>
          <c:showLeaderLines val="1"/>
        </c:dLbls>
        <c:firstSliceAng val="0"/>
        <c:holeSize val="50"/>
      </c:doughnutChart>
    </c:plotArea>
    <c:legend>
      <c:legendPos val="r"/>
      <c:layout>
        <c:manualLayout>
          <c:xMode val="edge"/>
          <c:yMode val="edge"/>
          <c:x val="0.53114003997675463"/>
          <c:y val="0.2554639166197975"/>
          <c:w val="0.45125438243577215"/>
          <c:h val="0.65369270247469091"/>
        </c:manualLayout>
      </c:layout>
      <c:overlay val="0"/>
      <c:txPr>
        <a:bodyPr/>
        <a:lstStyle/>
        <a:p>
          <a:pPr>
            <a:defRPr b="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Ліфтове господарство міста</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4423516431703523"/>
          <c:y val="8.2709599837823E-2"/>
          <c:w val="0.46209899029525736"/>
          <c:h val="0.85929828880652981"/>
        </c:manualLayout>
      </c:layout>
      <c:bar3DChart>
        <c:barDir val="bar"/>
        <c:grouping val="clustered"/>
        <c:varyColors val="0"/>
        <c:ser>
          <c:idx val="0"/>
          <c:order val="0"/>
          <c:tx>
            <c:strRef>
              <c:f>Лист1!$B$83</c:f>
              <c:strCache>
                <c:ptCount val="1"/>
                <c:pt idx="0">
                  <c:v>2014 рік</c:v>
                </c:pt>
              </c:strCache>
            </c:strRef>
          </c:tx>
          <c:invertIfNegative val="0"/>
          <c:dLbls>
            <c:dLbl>
              <c:idx val="2"/>
              <c:layout>
                <c:manualLayout>
                  <c:x val="9.2432120161756205E-3"/>
                  <c:y val="4.1025627772863955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9.2432120161756205E-3"/>
                  <c:y val="1.2307688331859211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5418833044482957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Лист1!$A$84:$A$88</c:f>
              <c:strCache>
                <c:ptCount val="5"/>
                <c:pt idx="0">
                  <c:v>Кількість замінених ліфтів</c:v>
                </c:pt>
                <c:pt idx="1">
                  <c:v>Кількість ліфтів, що потребують заміни</c:v>
                </c:pt>
                <c:pt idx="2">
                  <c:v>Кількість капітально відремонтованих ліфтів</c:v>
                </c:pt>
                <c:pt idx="3">
                  <c:v>Кількість ліфтів, що потребують капітального ремонту</c:v>
                </c:pt>
                <c:pt idx="4">
                  <c:v>Кількість ліфтів</c:v>
                </c:pt>
              </c:strCache>
            </c:strRef>
          </c:cat>
          <c:val>
            <c:numRef>
              <c:f>Лист1!$B$84:$B$88</c:f>
              <c:numCache>
                <c:formatCode>General</c:formatCode>
                <c:ptCount val="5"/>
                <c:pt idx="1">
                  <c:v>61</c:v>
                </c:pt>
                <c:pt idx="2">
                  <c:v>193</c:v>
                </c:pt>
                <c:pt idx="3">
                  <c:v>202</c:v>
                </c:pt>
                <c:pt idx="4">
                  <c:v>986</c:v>
                </c:pt>
              </c:numCache>
            </c:numRef>
          </c:val>
        </c:ser>
        <c:ser>
          <c:idx val="1"/>
          <c:order val="1"/>
          <c:tx>
            <c:strRef>
              <c:f>Лист1!$C$83</c:f>
              <c:strCache>
                <c:ptCount val="1"/>
                <c:pt idx="0">
                  <c:v>2015 рік</c:v>
                </c:pt>
              </c:strCache>
            </c:strRef>
          </c:tx>
          <c:invertIfNegative val="0"/>
          <c:dLbls>
            <c:dLbl>
              <c:idx val="2"/>
              <c:layout>
                <c:manualLayout>
                  <c:x val="1.8486424032351303E-2"/>
                  <c:y val="-4.1025627772863955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0797227036395152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Лист1!$A$84:$A$88</c:f>
              <c:strCache>
                <c:ptCount val="5"/>
                <c:pt idx="0">
                  <c:v>Кількість замінених ліфтів</c:v>
                </c:pt>
                <c:pt idx="1">
                  <c:v>Кількість ліфтів, що потребують заміни</c:v>
                </c:pt>
                <c:pt idx="2">
                  <c:v>Кількість капітально відремонтованих ліфтів</c:v>
                </c:pt>
                <c:pt idx="3">
                  <c:v>Кількість ліфтів, що потребують капітального ремонту</c:v>
                </c:pt>
                <c:pt idx="4">
                  <c:v>Кількість ліфтів</c:v>
                </c:pt>
              </c:strCache>
            </c:strRef>
          </c:cat>
          <c:val>
            <c:numRef>
              <c:f>Лист1!$C$84:$C$88</c:f>
              <c:numCache>
                <c:formatCode>General</c:formatCode>
                <c:ptCount val="5"/>
                <c:pt idx="1">
                  <c:v>68</c:v>
                </c:pt>
                <c:pt idx="2">
                  <c:v>162</c:v>
                </c:pt>
                <c:pt idx="3">
                  <c:v>153</c:v>
                </c:pt>
                <c:pt idx="4">
                  <c:v>986</c:v>
                </c:pt>
              </c:numCache>
            </c:numRef>
          </c:val>
        </c:ser>
        <c:ser>
          <c:idx val="2"/>
          <c:order val="2"/>
          <c:tx>
            <c:strRef>
              <c:f>Лист1!$D$83</c:f>
              <c:strCache>
                <c:ptCount val="1"/>
                <c:pt idx="0">
                  <c:v>2016 рік</c:v>
                </c:pt>
              </c:strCache>
            </c:strRef>
          </c:tx>
          <c:invertIfNegative val="0"/>
          <c:dLbls>
            <c:dLbl>
              <c:idx val="1"/>
              <c:layout>
                <c:manualLayout>
                  <c:x val="6.9324090121318351E-3"/>
                  <c:y val="-4.1025627772863279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6216060080878103E-3"/>
                  <c:y val="-1.6410251109145613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6216060080878103E-3"/>
                  <c:y val="-4.102562777286366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3108030040439029E-2"/>
                  <c:y val="-4.1025627772863955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Лист1!$A$84:$A$88</c:f>
              <c:strCache>
                <c:ptCount val="5"/>
                <c:pt idx="0">
                  <c:v>Кількість замінених ліфтів</c:v>
                </c:pt>
                <c:pt idx="1">
                  <c:v>Кількість ліфтів, що потребують заміни</c:v>
                </c:pt>
                <c:pt idx="2">
                  <c:v>Кількість капітально відремонтованих ліфтів</c:v>
                </c:pt>
                <c:pt idx="3">
                  <c:v>Кількість ліфтів, що потребують капітального ремонту</c:v>
                </c:pt>
                <c:pt idx="4">
                  <c:v>Кількість ліфтів</c:v>
                </c:pt>
              </c:strCache>
            </c:strRef>
          </c:cat>
          <c:val>
            <c:numRef>
              <c:f>Лист1!$D$84:$D$88</c:f>
              <c:numCache>
                <c:formatCode>General</c:formatCode>
                <c:ptCount val="5"/>
                <c:pt idx="0">
                  <c:v>18</c:v>
                </c:pt>
                <c:pt idx="1">
                  <c:v>46</c:v>
                </c:pt>
                <c:pt idx="2">
                  <c:v>175</c:v>
                </c:pt>
                <c:pt idx="3">
                  <c:v>179</c:v>
                </c:pt>
                <c:pt idx="4">
                  <c:v>1004</c:v>
                </c:pt>
              </c:numCache>
            </c:numRef>
          </c:val>
        </c:ser>
        <c:ser>
          <c:idx val="3"/>
          <c:order val="3"/>
          <c:tx>
            <c:strRef>
              <c:f>Лист1!$E$83</c:f>
              <c:strCache>
                <c:ptCount val="1"/>
                <c:pt idx="0">
                  <c:v>2017 рік</c:v>
                </c:pt>
              </c:strCache>
            </c:strRef>
          </c:tx>
          <c:spPr>
            <a:solidFill>
              <a:schemeClr val="tx2">
                <a:lumMod val="20000"/>
                <a:lumOff val="80000"/>
              </a:schemeClr>
            </a:solidFill>
          </c:spPr>
          <c:invertIfNegative val="0"/>
          <c:dLbls>
            <c:dLbl>
              <c:idx val="0"/>
              <c:layout>
                <c:manualLayout>
                  <c:x val="1.6175621028307361E-2"/>
                  <c:y val="-4.1025627772863955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9324090121318351E-3"/>
                  <c:y val="-1.641025110914569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3108030040439047E-3"/>
                  <c:y val="-1.4571944818225028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6.9324090121318351E-3"/>
                  <c:y val="-1.6410251109145655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3864818024263601E-2"/>
                  <c:y val="-1.641025110914564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Лист1!$A$84:$A$88</c:f>
              <c:strCache>
                <c:ptCount val="5"/>
                <c:pt idx="0">
                  <c:v>Кількість замінених ліфтів</c:v>
                </c:pt>
                <c:pt idx="1">
                  <c:v>Кількість ліфтів, що потребують заміни</c:v>
                </c:pt>
                <c:pt idx="2">
                  <c:v>Кількість капітально відремонтованих ліфтів</c:v>
                </c:pt>
                <c:pt idx="3">
                  <c:v>Кількість ліфтів, що потребують капітального ремонту</c:v>
                </c:pt>
                <c:pt idx="4">
                  <c:v>Кількість ліфтів</c:v>
                </c:pt>
              </c:strCache>
            </c:strRef>
          </c:cat>
          <c:val>
            <c:numRef>
              <c:f>Лист1!$E$84:$E$88</c:f>
              <c:numCache>
                <c:formatCode>General</c:formatCode>
                <c:ptCount val="5"/>
                <c:pt idx="0">
                  <c:v>4</c:v>
                </c:pt>
                <c:pt idx="1">
                  <c:v>35</c:v>
                </c:pt>
                <c:pt idx="2">
                  <c:v>46</c:v>
                </c:pt>
                <c:pt idx="3">
                  <c:v>165</c:v>
                </c:pt>
                <c:pt idx="4">
                  <c:v>1004</c:v>
                </c:pt>
              </c:numCache>
            </c:numRef>
          </c:val>
        </c:ser>
        <c:dLbls>
          <c:showLegendKey val="0"/>
          <c:showVal val="0"/>
          <c:showCatName val="0"/>
          <c:showSerName val="0"/>
          <c:showPercent val="0"/>
          <c:showBubbleSize val="0"/>
        </c:dLbls>
        <c:gapWidth val="150"/>
        <c:shape val="box"/>
        <c:axId val="423767768"/>
        <c:axId val="423768160"/>
        <c:axId val="0"/>
      </c:bar3DChart>
      <c:catAx>
        <c:axId val="423767768"/>
        <c:scaling>
          <c:orientation val="minMax"/>
        </c:scaling>
        <c:delete val="0"/>
        <c:axPos val="l"/>
        <c:numFmt formatCode="General" sourceLinked="0"/>
        <c:majorTickMark val="out"/>
        <c:minorTickMark val="none"/>
        <c:tickLblPos val="nextTo"/>
        <c:txPr>
          <a:bodyPr rot="0" anchor="ctr" anchorCtr="0"/>
          <a:lstStyle/>
          <a:p>
            <a:pPr>
              <a:defRPr b="1">
                <a:latin typeface="Times New Roman" pitchFamily="18" charset="0"/>
                <a:cs typeface="Times New Roman" pitchFamily="18" charset="0"/>
              </a:defRPr>
            </a:pPr>
            <a:endParaRPr lang="ru-RU"/>
          </a:p>
        </c:txPr>
        <c:crossAx val="423768160"/>
        <c:crosses val="autoZero"/>
        <c:auto val="0"/>
        <c:lblAlgn val="ctr"/>
        <c:lblOffset val="100"/>
        <c:noMultiLvlLbl val="0"/>
      </c:catAx>
      <c:valAx>
        <c:axId val="423768160"/>
        <c:scaling>
          <c:orientation val="minMax"/>
        </c:scaling>
        <c:delete val="1"/>
        <c:axPos val="b"/>
        <c:numFmt formatCode="General" sourceLinked="1"/>
        <c:majorTickMark val="out"/>
        <c:minorTickMark val="none"/>
        <c:tickLblPos val="none"/>
        <c:crossAx val="423767768"/>
        <c:crosses val="autoZero"/>
        <c:crossBetween val="between"/>
      </c:valAx>
    </c:plotArea>
    <c:legend>
      <c:legendPos val="r"/>
      <c:overlay val="0"/>
      <c:txPr>
        <a:bodyPr/>
        <a:lstStyle/>
        <a:p>
          <a:pPr>
            <a:defRPr b="1">
              <a:latin typeface="Times New Roman" pitchFamily="18" charset="0"/>
              <a:cs typeface="Times New Roman" pitchFamily="18" charset="0"/>
            </a:defRPr>
          </a:pPr>
          <a:endParaRPr lang="ru-RU"/>
        </a:p>
      </c:txPr>
    </c:legend>
    <c:plotVisOnly val="1"/>
    <c:dispBlanksAs val="gap"/>
    <c:showDLblsOverMax val="0"/>
  </c:chart>
  <c:spPr>
    <a:noFill/>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uk-UA" sz="1200">
                <a:latin typeface="Times New Roman" pitchFamily="18" charset="0"/>
                <a:cs typeface="Times New Roman" pitchFamily="18" charset="0"/>
              </a:rPr>
              <a:t>Надходження</a:t>
            </a:r>
            <a:r>
              <a:rPr lang="uk-UA" sz="1200" baseline="0">
                <a:latin typeface="Times New Roman" pitchFamily="18" charset="0"/>
                <a:cs typeface="Times New Roman" pitchFamily="18" charset="0"/>
              </a:rPr>
              <a:t> інвестицій по галузях, млн.дол.США</a:t>
            </a:r>
            <a:endParaRPr lang="uk-UA" sz="1200">
              <a:latin typeface="Times New Roman" pitchFamily="18" charset="0"/>
              <a:cs typeface="Times New Roman" pitchFamily="18" charset="0"/>
            </a:endParaRPr>
          </a:p>
        </c:rich>
      </c:tx>
      <c:layout>
        <c:manualLayout>
          <c:xMode val="edge"/>
          <c:yMode val="edge"/>
          <c:x val="0.16558653806235571"/>
          <c:y val="0"/>
        </c:manualLayout>
      </c:layout>
      <c:overlay val="0"/>
    </c:title>
    <c:autoTitleDeleted val="0"/>
    <c:view3D>
      <c:rotX val="30"/>
      <c:rotY val="0"/>
      <c:rAngAx val="0"/>
    </c:view3D>
    <c:floor>
      <c:thickness val="0"/>
    </c:floor>
    <c:sideWall>
      <c:thickness val="0"/>
    </c:sideWall>
    <c:backWall>
      <c:thickness val="0"/>
    </c:backWall>
    <c:plotArea>
      <c:layout>
        <c:manualLayout>
          <c:layoutTarget val="inner"/>
          <c:xMode val="edge"/>
          <c:yMode val="edge"/>
          <c:x val="7.8353791013382079E-2"/>
          <c:y val="0.35111439891669632"/>
          <c:w val="0.50292929991835378"/>
          <c:h val="0.5563699282812552"/>
        </c:manualLayout>
      </c:layout>
      <c:pie3DChart>
        <c:varyColors val="1"/>
        <c:ser>
          <c:idx val="0"/>
          <c:order val="0"/>
          <c:explosion val="25"/>
          <c:dLbls>
            <c:dLbl>
              <c:idx val="2"/>
              <c:layout>
                <c:manualLayout>
                  <c:x val="1.8037083330933304E-2"/>
                  <c:y val="8.991642915801356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Лист1!$A$48:$A$51</c:f>
              <c:strCache>
                <c:ptCount val="4"/>
                <c:pt idx="0">
                  <c:v>Промисловість</c:v>
                </c:pt>
                <c:pt idx="1">
                  <c:v>Операції з нерухомим майном</c:v>
                </c:pt>
                <c:pt idx="2">
                  <c:v>Будівництво</c:v>
                </c:pt>
                <c:pt idx="3">
                  <c:v>Торгівля та ремонт автотранспортних засобів</c:v>
                </c:pt>
              </c:strCache>
            </c:strRef>
          </c:cat>
          <c:val>
            <c:numRef>
              <c:f>Лист1!$B$48:$B$51</c:f>
              <c:numCache>
                <c:formatCode>0.0</c:formatCode>
                <c:ptCount val="4"/>
                <c:pt idx="0" formatCode="General">
                  <c:v>63.8</c:v>
                </c:pt>
                <c:pt idx="1">
                  <c:v>8</c:v>
                </c:pt>
                <c:pt idx="2" formatCode="General">
                  <c:v>5.3</c:v>
                </c:pt>
                <c:pt idx="3" formatCode="General">
                  <c:v>2.4</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5752210674895919"/>
          <c:y val="0.17868649380610946"/>
          <c:w val="0.41089022044476431"/>
          <c:h val="0.82131350619389165"/>
        </c:manualLayout>
      </c:layout>
      <c:overlay val="0"/>
      <c:spPr>
        <a:ln w="3175"/>
      </c:spPr>
      <c:txPr>
        <a:bodyPr/>
        <a:lstStyle/>
        <a:p>
          <a:pPr>
            <a:defRPr>
              <a:latin typeface="Times New Roman" pitchFamily="18" charset="0"/>
              <a:cs typeface="Times New Roman" pitchFamily="18" charset="0"/>
            </a:defRPr>
          </a:pPr>
          <a:endParaRPr lang="ru-RU"/>
        </a:p>
      </c:txPr>
    </c:legend>
    <c:plotVisOnly val="1"/>
    <c:dispBlanksAs val="zero"/>
    <c:showDLblsOverMax val="0"/>
  </c:chart>
  <c:spPr>
    <a:ln>
      <a:noFill/>
    </a:ln>
  </c:sp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itchFamily="18" charset="0"/>
                <a:cs typeface="Times New Roman" pitchFamily="18" charset="0"/>
              </a:defRPr>
            </a:pPr>
            <a:r>
              <a:rPr lang="uk-UA" sz="1100">
                <a:latin typeface="Times New Roman" pitchFamily="18" charset="0"/>
                <a:cs typeface="Times New Roman" pitchFamily="18" charset="0"/>
              </a:rPr>
              <a:t>Протяжність</a:t>
            </a:r>
            <a:r>
              <a:rPr lang="uk-UA" sz="1100" baseline="0">
                <a:latin typeface="Times New Roman" pitchFamily="18" charset="0"/>
                <a:cs typeface="Times New Roman" pitchFamily="18" charset="0"/>
              </a:rPr>
              <a:t> мережі водопостачання, км</a:t>
            </a:r>
            <a:endParaRPr lang="uk-UA" sz="1100">
              <a:latin typeface="Times New Roman" pitchFamily="18" charset="0"/>
              <a:cs typeface="Times New Roman" pitchFamily="18" charset="0"/>
            </a:endParaRPr>
          </a:p>
        </c:rich>
      </c:tx>
      <c:layout>
        <c:manualLayout>
          <c:xMode val="edge"/>
          <c:yMode val="edge"/>
          <c:x val="0.26079309363437975"/>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
          <c:y val="0.22623194451687123"/>
          <c:w val="0.98393574297188768"/>
          <c:h val="0.49601971111227633"/>
        </c:manualLayout>
      </c:layout>
      <c:bar3DChart>
        <c:barDir val="col"/>
        <c:grouping val="clustered"/>
        <c:varyColors val="0"/>
        <c:ser>
          <c:idx val="0"/>
          <c:order val="0"/>
          <c:invertIfNegative val="0"/>
          <c:dLbls>
            <c:dLbl>
              <c:idx val="0"/>
              <c:layout>
                <c:manualLayout>
                  <c:x val="1.1111111111111125E-2"/>
                  <c:y val="-3.703703703703705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055555555555561E-2"/>
                  <c:y val="-2.777777777777847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9214583471183792E-3"/>
                  <c:y val="-1.851860908690762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1521906225980013E-2"/>
                  <c:y val="-1.699716713881020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Лист1!$A$62:$A$65</c:f>
              <c:strCache>
                <c:ptCount val="4"/>
                <c:pt idx="0">
                  <c:v>2014 рік</c:v>
                </c:pt>
                <c:pt idx="1">
                  <c:v>2015 рік</c:v>
                </c:pt>
                <c:pt idx="2">
                  <c:v>2016 рік</c:v>
                </c:pt>
                <c:pt idx="3">
                  <c:v>8 міс. 2017 року</c:v>
                </c:pt>
              </c:strCache>
            </c:strRef>
          </c:cat>
          <c:val>
            <c:numRef>
              <c:f>Лист1!$B$62:$B$65</c:f>
              <c:numCache>
                <c:formatCode>General</c:formatCode>
                <c:ptCount val="4"/>
                <c:pt idx="0">
                  <c:v>522.70000000000005</c:v>
                </c:pt>
                <c:pt idx="1">
                  <c:v>522.79999999999995</c:v>
                </c:pt>
                <c:pt idx="2">
                  <c:v>526.1</c:v>
                </c:pt>
                <c:pt idx="3" formatCode="0.0">
                  <c:v>526.1</c:v>
                </c:pt>
              </c:numCache>
            </c:numRef>
          </c:val>
        </c:ser>
        <c:dLbls>
          <c:showLegendKey val="0"/>
          <c:showVal val="0"/>
          <c:showCatName val="0"/>
          <c:showSerName val="0"/>
          <c:showPercent val="0"/>
          <c:showBubbleSize val="0"/>
        </c:dLbls>
        <c:gapWidth val="150"/>
        <c:shape val="cylinder"/>
        <c:axId val="423768944"/>
        <c:axId val="423761888"/>
        <c:axId val="0"/>
      </c:bar3DChart>
      <c:catAx>
        <c:axId val="423768944"/>
        <c:scaling>
          <c:orientation val="minMax"/>
        </c:scaling>
        <c:delete val="0"/>
        <c:axPos val="b"/>
        <c:numFmt formatCode="General" sourceLinked="0"/>
        <c:majorTickMark val="out"/>
        <c:minorTickMark val="none"/>
        <c:tickLblPos val="nextTo"/>
        <c:txPr>
          <a:bodyPr/>
          <a:lstStyle/>
          <a:p>
            <a:pPr>
              <a:defRPr sz="900" b="1">
                <a:latin typeface="Times New Roman" pitchFamily="18" charset="0"/>
                <a:cs typeface="Times New Roman" pitchFamily="18" charset="0"/>
              </a:defRPr>
            </a:pPr>
            <a:endParaRPr lang="ru-RU"/>
          </a:p>
        </c:txPr>
        <c:crossAx val="423761888"/>
        <c:crosses val="autoZero"/>
        <c:auto val="1"/>
        <c:lblAlgn val="ctr"/>
        <c:lblOffset val="100"/>
        <c:noMultiLvlLbl val="0"/>
      </c:catAx>
      <c:valAx>
        <c:axId val="423761888"/>
        <c:scaling>
          <c:orientation val="minMax"/>
        </c:scaling>
        <c:delete val="1"/>
        <c:axPos val="l"/>
        <c:majorGridlines>
          <c:spPr>
            <a:ln>
              <a:noFill/>
            </a:ln>
          </c:spPr>
        </c:majorGridlines>
        <c:numFmt formatCode="General" sourceLinked="1"/>
        <c:majorTickMark val="out"/>
        <c:minorTickMark val="none"/>
        <c:tickLblPos val="none"/>
        <c:crossAx val="423768944"/>
        <c:crosses val="autoZero"/>
        <c:crossBetween val="between"/>
      </c:valAx>
    </c:plotArea>
    <c:plotVisOnly val="1"/>
    <c:dispBlanksAs val="gap"/>
    <c:showDLblsOverMax val="0"/>
  </c:chart>
  <c:spPr>
    <a:ln>
      <a:noFill/>
    </a:ln>
  </c:sp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itchFamily="18" charset="0"/>
                <a:cs typeface="Times New Roman" pitchFamily="18" charset="0"/>
              </a:defRPr>
            </a:pPr>
            <a:r>
              <a:rPr lang="uk-UA" sz="1100">
                <a:latin typeface="Times New Roman" pitchFamily="18" charset="0"/>
                <a:cs typeface="Times New Roman" pitchFamily="18" charset="0"/>
              </a:rPr>
              <a:t>Рівень</a:t>
            </a:r>
            <a:r>
              <a:rPr lang="uk-UA" sz="1100" baseline="0">
                <a:latin typeface="Times New Roman" pitchFamily="18" charset="0"/>
                <a:cs typeface="Times New Roman" pitchFamily="18" charset="0"/>
              </a:rPr>
              <a:t> зношеності та оновлення мережі водопостачання, %</a:t>
            </a:r>
            <a:endParaRPr lang="uk-UA" sz="1100">
              <a:latin typeface="Times New Roman" pitchFamily="18" charset="0"/>
              <a:cs typeface="Times New Roman" pitchFamily="18" charset="0"/>
            </a:endParaRPr>
          </a:p>
        </c:rich>
      </c:tx>
      <c:layout>
        <c:manualLayout>
          <c:xMode val="edge"/>
          <c:yMode val="edge"/>
          <c:x val="0.10820671553986792"/>
          <c:y val="0"/>
        </c:manualLayout>
      </c:layout>
      <c:overlay val="0"/>
    </c:title>
    <c:autoTitleDeleted val="0"/>
    <c:view3D>
      <c:rotX val="15"/>
      <c:rotY val="20"/>
      <c:rAngAx val="1"/>
    </c:view3D>
    <c:floor>
      <c:thickness val="0"/>
      <c:spPr>
        <a:noFill/>
        <a:ln w="9525">
          <a:noFill/>
        </a:ln>
      </c:spPr>
    </c:floor>
    <c:sideWall>
      <c:thickness val="0"/>
    </c:sideWall>
    <c:backWall>
      <c:thickness val="0"/>
    </c:backWall>
    <c:plotArea>
      <c:layout>
        <c:manualLayout>
          <c:layoutTarget val="inner"/>
          <c:xMode val="edge"/>
          <c:yMode val="edge"/>
          <c:x val="1.3974503187101641E-3"/>
          <c:y val="0.21072555205047341"/>
          <c:w val="0.83856566205086469"/>
          <c:h val="0.63229240666684194"/>
        </c:manualLayout>
      </c:layout>
      <c:bar3DChart>
        <c:barDir val="col"/>
        <c:grouping val="clustered"/>
        <c:varyColors val="0"/>
        <c:ser>
          <c:idx val="0"/>
          <c:order val="0"/>
          <c:tx>
            <c:strRef>
              <c:f>Лист1!$B$75:$B$76</c:f>
              <c:strCache>
                <c:ptCount val="1"/>
                <c:pt idx="0">
                  <c:v>Рівень зношеності</c:v>
                </c:pt>
              </c:strCache>
            </c:strRef>
          </c:tx>
          <c:invertIfNegative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Лист1!$A$77:$A$80</c:f>
              <c:strCache>
                <c:ptCount val="4"/>
                <c:pt idx="0">
                  <c:v>2014 рік</c:v>
                </c:pt>
                <c:pt idx="1">
                  <c:v>2015 рік</c:v>
                </c:pt>
                <c:pt idx="2">
                  <c:v>2016 рік</c:v>
                </c:pt>
                <c:pt idx="3">
                  <c:v>8 міс. 2017 року</c:v>
                </c:pt>
              </c:strCache>
            </c:strRef>
          </c:cat>
          <c:val>
            <c:numRef>
              <c:f>Лист1!$B$77:$B$80</c:f>
              <c:numCache>
                <c:formatCode>0.00</c:formatCode>
                <c:ptCount val="4"/>
                <c:pt idx="0" formatCode="General">
                  <c:v>63.09</c:v>
                </c:pt>
                <c:pt idx="1">
                  <c:v>63.7</c:v>
                </c:pt>
                <c:pt idx="2">
                  <c:v>65.099999999999994</c:v>
                </c:pt>
                <c:pt idx="3">
                  <c:v>77.900000000000006</c:v>
                </c:pt>
              </c:numCache>
            </c:numRef>
          </c:val>
        </c:ser>
        <c:ser>
          <c:idx val="1"/>
          <c:order val="1"/>
          <c:tx>
            <c:strRef>
              <c:f>Лист1!$C$75:$C$76</c:f>
              <c:strCache>
                <c:ptCount val="1"/>
                <c:pt idx="0">
                  <c:v>Рівень оновлення</c:v>
                </c:pt>
              </c:strCache>
            </c:strRef>
          </c:tx>
          <c:spPr>
            <a:solidFill>
              <a:schemeClr val="accent3">
                <a:lumMod val="75000"/>
              </a:schemeClr>
            </a:solidFill>
          </c:spPr>
          <c:invertIfNegative val="0"/>
          <c:dLbls>
            <c:dLbl>
              <c:idx val="0"/>
              <c:layout>
                <c:manualLayout>
                  <c:x val="3.2127794370531287E-2"/>
                  <c:y val="-6.3091482649842599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9071952212870181E-2"/>
                  <c:y val="-1.07096549839787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8267354511720551E-2"/>
                  <c:y val="-1.1663975756973763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8334606569900689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Лист1!$A$77:$A$80</c:f>
              <c:strCache>
                <c:ptCount val="4"/>
                <c:pt idx="0">
                  <c:v>2014 рік</c:v>
                </c:pt>
                <c:pt idx="1">
                  <c:v>2015 рік</c:v>
                </c:pt>
                <c:pt idx="2">
                  <c:v>2016 рік</c:v>
                </c:pt>
                <c:pt idx="3">
                  <c:v>8 міс. 2017 року</c:v>
                </c:pt>
              </c:strCache>
            </c:strRef>
          </c:cat>
          <c:val>
            <c:numRef>
              <c:f>Лист1!$C$77:$C$80</c:f>
              <c:numCache>
                <c:formatCode>General</c:formatCode>
                <c:ptCount val="4"/>
                <c:pt idx="0" formatCode="0.00">
                  <c:v>0.30000000000000032</c:v>
                </c:pt>
                <c:pt idx="1">
                  <c:v>2.0000000000000011E-2</c:v>
                </c:pt>
                <c:pt idx="2">
                  <c:v>0.33000000000000185</c:v>
                </c:pt>
                <c:pt idx="3">
                  <c:v>0</c:v>
                </c:pt>
              </c:numCache>
            </c:numRef>
          </c:val>
        </c:ser>
        <c:dLbls>
          <c:showLegendKey val="0"/>
          <c:showVal val="0"/>
          <c:showCatName val="0"/>
          <c:showSerName val="0"/>
          <c:showPercent val="0"/>
          <c:showBubbleSize val="0"/>
        </c:dLbls>
        <c:gapWidth val="150"/>
        <c:shape val="cylinder"/>
        <c:axId val="423765024"/>
        <c:axId val="423769728"/>
        <c:axId val="0"/>
      </c:bar3DChart>
      <c:catAx>
        <c:axId val="423765024"/>
        <c:scaling>
          <c:orientation val="minMax"/>
        </c:scaling>
        <c:delete val="0"/>
        <c:axPos val="b"/>
        <c:numFmt formatCode="General" sourceLinked="0"/>
        <c:majorTickMark val="out"/>
        <c:minorTickMark val="none"/>
        <c:tickLblPos val="nextTo"/>
        <c:txPr>
          <a:bodyPr/>
          <a:lstStyle/>
          <a:p>
            <a:pPr>
              <a:defRPr sz="800" b="1">
                <a:latin typeface="Times New Roman" pitchFamily="18" charset="0"/>
                <a:cs typeface="Times New Roman" pitchFamily="18" charset="0"/>
              </a:defRPr>
            </a:pPr>
            <a:endParaRPr lang="ru-RU"/>
          </a:p>
        </c:txPr>
        <c:crossAx val="423769728"/>
        <c:crosses val="autoZero"/>
        <c:auto val="1"/>
        <c:lblAlgn val="ctr"/>
        <c:lblOffset val="100"/>
        <c:noMultiLvlLbl val="0"/>
      </c:catAx>
      <c:valAx>
        <c:axId val="423769728"/>
        <c:scaling>
          <c:orientation val="minMax"/>
        </c:scaling>
        <c:delete val="1"/>
        <c:axPos val="l"/>
        <c:numFmt formatCode="General" sourceLinked="1"/>
        <c:majorTickMark val="out"/>
        <c:minorTickMark val="none"/>
        <c:tickLblPos val="none"/>
        <c:crossAx val="423765024"/>
        <c:crosses val="autoZero"/>
        <c:crossBetween val="between"/>
      </c:valAx>
    </c:plotArea>
    <c:legend>
      <c:legendPos val="r"/>
      <c:layout>
        <c:manualLayout>
          <c:xMode val="edge"/>
          <c:yMode val="edge"/>
          <c:x val="0.70414951579329088"/>
          <c:y val="0.33767604759184894"/>
          <c:w val="0.29585048420671878"/>
          <c:h val="0.35240815718225088"/>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pPr>
            <a:r>
              <a:rPr lang="uk-UA" sz="1100">
                <a:latin typeface="Times New Roman" pitchFamily="18" charset="0"/>
                <a:cs typeface="Times New Roman" pitchFamily="18" charset="0"/>
              </a:rPr>
              <a:t>Протяжність</a:t>
            </a:r>
            <a:r>
              <a:rPr lang="uk-UA" sz="1100" baseline="0">
                <a:latin typeface="Times New Roman" pitchFamily="18" charset="0"/>
                <a:cs typeface="Times New Roman" pitchFamily="18" charset="0"/>
              </a:rPr>
              <a:t> мережі водовідведення, км</a:t>
            </a:r>
            <a:endParaRPr lang="uk-UA" sz="1100">
              <a:latin typeface="Times New Roman" pitchFamily="18" charset="0"/>
              <a:cs typeface="Times New Roman" pitchFamily="18" charset="0"/>
            </a:endParaRPr>
          </a:p>
        </c:rich>
      </c:tx>
      <c:layout>
        <c:manualLayout>
          <c:xMode val="edge"/>
          <c:yMode val="edge"/>
          <c:x val="0.28252776996626106"/>
          <c:y val="5.9596277738011433E-3"/>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
          <c:y val="0.23200000000000001"/>
          <c:w val="0.9998967986144589"/>
          <c:h val="0.5870425196850394"/>
        </c:manualLayout>
      </c:layout>
      <c:bar3DChart>
        <c:barDir val="col"/>
        <c:grouping val="clustered"/>
        <c:varyColors val="0"/>
        <c:ser>
          <c:idx val="0"/>
          <c:order val="0"/>
          <c:invertIfNegative val="0"/>
          <c:dLbls>
            <c:dLbl>
              <c:idx val="0"/>
              <c:layout>
                <c:manualLayout>
                  <c:x val="2.2222222222222251E-2"/>
                  <c:y val="-2.314814814814814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5.5555555555555558E-3"/>
                  <c:y val="-1.851851851851858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9444444444444445E-2"/>
                  <c:y val="-1.3888888888889103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509433962264151E-2"/>
                  <c:y val="-2.728512960436605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Лист1!$A$87:$A$90</c:f>
              <c:strCache>
                <c:ptCount val="4"/>
                <c:pt idx="0">
                  <c:v>2014 рік</c:v>
                </c:pt>
                <c:pt idx="1">
                  <c:v>2015 рік</c:v>
                </c:pt>
                <c:pt idx="2">
                  <c:v>2016 рік</c:v>
                </c:pt>
                <c:pt idx="3">
                  <c:v>8 міс. 2017 року</c:v>
                </c:pt>
              </c:strCache>
            </c:strRef>
          </c:cat>
          <c:val>
            <c:numRef>
              <c:f>Лист1!$B$87:$B$90</c:f>
              <c:numCache>
                <c:formatCode>0.0</c:formatCode>
                <c:ptCount val="4"/>
                <c:pt idx="0">
                  <c:v>246</c:v>
                </c:pt>
                <c:pt idx="1">
                  <c:v>246</c:v>
                </c:pt>
                <c:pt idx="2">
                  <c:v>246</c:v>
                </c:pt>
                <c:pt idx="3">
                  <c:v>246</c:v>
                </c:pt>
              </c:numCache>
            </c:numRef>
          </c:val>
        </c:ser>
        <c:dLbls>
          <c:showLegendKey val="0"/>
          <c:showVal val="0"/>
          <c:showCatName val="0"/>
          <c:showSerName val="0"/>
          <c:showPercent val="0"/>
          <c:showBubbleSize val="0"/>
        </c:dLbls>
        <c:gapWidth val="150"/>
        <c:shape val="cylinder"/>
        <c:axId val="423765416"/>
        <c:axId val="423765808"/>
        <c:axId val="0"/>
      </c:bar3DChart>
      <c:catAx>
        <c:axId val="423765416"/>
        <c:scaling>
          <c:orientation val="minMax"/>
        </c:scaling>
        <c:delete val="0"/>
        <c:axPos val="b"/>
        <c:numFmt formatCode="General" sourceLinked="0"/>
        <c:majorTickMark val="out"/>
        <c:minorTickMark val="none"/>
        <c:tickLblPos val="nextTo"/>
        <c:txPr>
          <a:bodyPr/>
          <a:lstStyle/>
          <a:p>
            <a:pPr>
              <a:defRPr sz="800" b="1">
                <a:latin typeface="Times New Roman" pitchFamily="18" charset="0"/>
                <a:cs typeface="Times New Roman" pitchFamily="18" charset="0"/>
              </a:defRPr>
            </a:pPr>
            <a:endParaRPr lang="ru-RU"/>
          </a:p>
        </c:txPr>
        <c:crossAx val="423765808"/>
        <c:crosses val="autoZero"/>
        <c:auto val="1"/>
        <c:lblAlgn val="ctr"/>
        <c:lblOffset val="100"/>
        <c:noMultiLvlLbl val="0"/>
      </c:catAx>
      <c:valAx>
        <c:axId val="423765808"/>
        <c:scaling>
          <c:orientation val="minMax"/>
        </c:scaling>
        <c:delete val="1"/>
        <c:axPos val="l"/>
        <c:majorGridlines>
          <c:spPr>
            <a:ln>
              <a:noFill/>
            </a:ln>
          </c:spPr>
        </c:majorGridlines>
        <c:numFmt formatCode="0.0" sourceLinked="1"/>
        <c:majorTickMark val="out"/>
        <c:minorTickMark val="none"/>
        <c:tickLblPos val="none"/>
        <c:crossAx val="423765416"/>
        <c:crosses val="autoZero"/>
        <c:crossBetween val="between"/>
      </c:valAx>
    </c:plotArea>
    <c:plotVisOnly val="1"/>
    <c:dispBlanksAs val="gap"/>
    <c:showDLblsOverMax val="0"/>
  </c:chart>
  <c:spPr>
    <a:ln>
      <a:noFill/>
    </a:ln>
  </c:sp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itchFamily="18" charset="0"/>
                <a:cs typeface="Times New Roman" pitchFamily="18" charset="0"/>
              </a:defRPr>
            </a:pPr>
            <a:r>
              <a:rPr lang="uk-UA" sz="1100">
                <a:latin typeface="Times New Roman" pitchFamily="18" charset="0"/>
                <a:cs typeface="Times New Roman" pitchFamily="18" charset="0"/>
              </a:rPr>
              <a:t>Рівень</a:t>
            </a:r>
            <a:r>
              <a:rPr lang="uk-UA" sz="1100" baseline="0">
                <a:latin typeface="Times New Roman" pitchFamily="18" charset="0"/>
                <a:cs typeface="Times New Roman" pitchFamily="18" charset="0"/>
              </a:rPr>
              <a:t> зношеності та оновлення мережі водовідведення, %</a:t>
            </a:r>
            <a:endParaRPr lang="uk-UA" sz="1100">
              <a:latin typeface="Times New Roman" pitchFamily="18" charset="0"/>
              <a:cs typeface="Times New Roman" pitchFamily="18" charset="0"/>
            </a:endParaRPr>
          </a:p>
        </c:rich>
      </c:tx>
      <c:layout>
        <c:manualLayout>
          <c:xMode val="edge"/>
          <c:yMode val="edge"/>
          <c:x val="0.11929166666666767"/>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3.1630577427822298E-2"/>
          <c:y val="0.23019354838709691"/>
          <c:w val="0.87928871391076113"/>
          <c:h val="0.65782665753738734"/>
        </c:manualLayout>
      </c:layout>
      <c:bar3DChart>
        <c:barDir val="col"/>
        <c:grouping val="clustered"/>
        <c:varyColors val="0"/>
        <c:ser>
          <c:idx val="0"/>
          <c:order val="0"/>
          <c:tx>
            <c:strRef>
              <c:f>Лист1!$B$100</c:f>
              <c:strCache>
                <c:ptCount val="1"/>
                <c:pt idx="0">
                  <c:v>Рівень зношеності</c:v>
                </c:pt>
              </c:strCache>
            </c:strRef>
          </c:tx>
          <c:invertIfNegative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Лист1!$A$101:$A$104</c:f>
              <c:strCache>
                <c:ptCount val="4"/>
                <c:pt idx="0">
                  <c:v>2014 рік</c:v>
                </c:pt>
                <c:pt idx="1">
                  <c:v>2015 рік</c:v>
                </c:pt>
                <c:pt idx="2">
                  <c:v>2016 рік</c:v>
                </c:pt>
                <c:pt idx="3">
                  <c:v>8 міс. 2017 року</c:v>
                </c:pt>
              </c:strCache>
            </c:strRef>
          </c:cat>
          <c:val>
            <c:numRef>
              <c:f>Лист1!$B$101:$B$104</c:f>
              <c:numCache>
                <c:formatCode>0.0</c:formatCode>
                <c:ptCount val="4"/>
                <c:pt idx="0">
                  <c:v>68.099999999999994</c:v>
                </c:pt>
                <c:pt idx="1">
                  <c:v>70</c:v>
                </c:pt>
                <c:pt idx="2">
                  <c:v>71.099999999999994</c:v>
                </c:pt>
                <c:pt idx="3" formatCode="General">
                  <c:v>71.8</c:v>
                </c:pt>
              </c:numCache>
            </c:numRef>
          </c:val>
        </c:ser>
        <c:ser>
          <c:idx val="1"/>
          <c:order val="1"/>
          <c:tx>
            <c:strRef>
              <c:f>Лист1!$C$100</c:f>
              <c:strCache>
                <c:ptCount val="1"/>
                <c:pt idx="0">
                  <c:v>Рівень оновлення</c:v>
                </c:pt>
              </c:strCache>
            </c:strRef>
          </c:tx>
          <c:spPr>
            <a:solidFill>
              <a:schemeClr val="accent3">
                <a:lumMod val="75000"/>
              </a:schemeClr>
            </a:solidFill>
          </c:spPr>
          <c:invertIfNegative val="0"/>
          <c:dLbls>
            <c:dLbl>
              <c:idx val="0"/>
              <c:layout>
                <c:manualLayout>
                  <c:x val="2.2222222222222251E-2"/>
                  <c:y val="-1.851851851851858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9166666666666667E-2"/>
                  <c:y val="-9.259386055004093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5000000000000001E-2"/>
                  <c:y val="-9.2592592592594652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Лист1!$A$101:$A$104</c:f>
              <c:strCache>
                <c:ptCount val="4"/>
                <c:pt idx="0">
                  <c:v>2014 рік</c:v>
                </c:pt>
                <c:pt idx="1">
                  <c:v>2015 рік</c:v>
                </c:pt>
                <c:pt idx="2">
                  <c:v>2016 рік</c:v>
                </c:pt>
                <c:pt idx="3">
                  <c:v>8 міс. 2017 року</c:v>
                </c:pt>
              </c:strCache>
            </c:strRef>
          </c:cat>
          <c:val>
            <c:numRef>
              <c:f>Лист1!$C$101:$C$104</c:f>
              <c:numCache>
                <c:formatCode>General</c:formatCode>
                <c:ptCount val="4"/>
                <c:pt idx="0">
                  <c:v>4.0000000000000022E-2</c:v>
                </c:pt>
                <c:pt idx="1">
                  <c:v>7.0000000000000021E-2</c:v>
                </c:pt>
                <c:pt idx="2">
                  <c:v>0.14000000000000001</c:v>
                </c:pt>
                <c:pt idx="3">
                  <c:v>0</c:v>
                </c:pt>
              </c:numCache>
            </c:numRef>
          </c:val>
        </c:ser>
        <c:dLbls>
          <c:showLegendKey val="0"/>
          <c:showVal val="0"/>
          <c:showCatName val="0"/>
          <c:showSerName val="0"/>
          <c:showPercent val="0"/>
          <c:showBubbleSize val="0"/>
        </c:dLbls>
        <c:gapWidth val="150"/>
        <c:shape val="cylinder"/>
        <c:axId val="423772080"/>
        <c:axId val="423766200"/>
        <c:axId val="0"/>
      </c:bar3DChart>
      <c:catAx>
        <c:axId val="423772080"/>
        <c:scaling>
          <c:orientation val="minMax"/>
        </c:scaling>
        <c:delete val="0"/>
        <c:axPos val="b"/>
        <c:numFmt formatCode="General" sourceLinked="0"/>
        <c:majorTickMark val="out"/>
        <c:minorTickMark val="none"/>
        <c:tickLblPos val="nextTo"/>
        <c:txPr>
          <a:bodyPr/>
          <a:lstStyle/>
          <a:p>
            <a:pPr>
              <a:defRPr sz="800" b="1">
                <a:latin typeface="Times New Roman" pitchFamily="18" charset="0"/>
                <a:cs typeface="Times New Roman" pitchFamily="18" charset="0"/>
              </a:defRPr>
            </a:pPr>
            <a:endParaRPr lang="ru-RU"/>
          </a:p>
        </c:txPr>
        <c:crossAx val="423766200"/>
        <c:crosses val="autoZero"/>
        <c:auto val="1"/>
        <c:lblAlgn val="ctr"/>
        <c:lblOffset val="100"/>
        <c:noMultiLvlLbl val="0"/>
      </c:catAx>
      <c:valAx>
        <c:axId val="423766200"/>
        <c:scaling>
          <c:orientation val="minMax"/>
        </c:scaling>
        <c:delete val="1"/>
        <c:axPos val="l"/>
        <c:majorGridlines>
          <c:spPr>
            <a:ln>
              <a:noFill/>
            </a:ln>
          </c:spPr>
        </c:majorGridlines>
        <c:numFmt formatCode="0.0" sourceLinked="1"/>
        <c:majorTickMark val="out"/>
        <c:minorTickMark val="none"/>
        <c:tickLblPos val="none"/>
        <c:crossAx val="423772080"/>
        <c:crosses val="autoZero"/>
        <c:crossBetween val="between"/>
      </c:valAx>
    </c:plotArea>
    <c:legend>
      <c:legendPos val="r"/>
      <c:layout>
        <c:manualLayout>
          <c:xMode val="edge"/>
          <c:yMode val="edge"/>
          <c:x val="0.79311909448819873"/>
          <c:y val="0.18519913271710925"/>
          <c:w val="0.2022427821522349"/>
          <c:h val="0.52916809311879565"/>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a:pPr>
            <a:r>
              <a:rPr lang="uk-UA" sz="1100">
                <a:latin typeface="Times New Roman" pitchFamily="18" charset="0"/>
                <a:cs typeface="Times New Roman" pitchFamily="18" charset="0"/>
              </a:rPr>
              <a:t>Кількість</a:t>
            </a:r>
            <a:r>
              <a:rPr lang="uk-UA" sz="1100" baseline="0">
                <a:latin typeface="Times New Roman" pitchFamily="18" charset="0"/>
                <a:cs typeface="Times New Roman" pitchFamily="18" charset="0"/>
              </a:rPr>
              <a:t> влаштованих засобів обліку холодної води в багатоквартирних житлових будинках, од.</a:t>
            </a:r>
            <a:endParaRPr lang="uk-UA" sz="1100">
              <a:latin typeface="Times New Roman" pitchFamily="18" charset="0"/>
              <a:cs typeface="Times New Roman" pitchFamily="18" charset="0"/>
            </a:endParaRPr>
          </a:p>
        </c:rich>
      </c:tx>
      <c:layout>
        <c:manualLayout>
          <c:xMode val="edge"/>
          <c:yMode val="edge"/>
          <c:x val="0.11369085173501579"/>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3.2715361469220551E-4"/>
          <c:y val="0.32947886557692957"/>
          <c:w val="0.99934569277061569"/>
          <c:h val="0.50609602893783834"/>
        </c:manualLayout>
      </c:layout>
      <c:bar3DChart>
        <c:barDir val="col"/>
        <c:grouping val="clustered"/>
        <c:varyColors val="0"/>
        <c:ser>
          <c:idx val="0"/>
          <c:order val="0"/>
          <c:invertIfNegative val="0"/>
          <c:dLbls>
            <c:dLbl>
              <c:idx val="0"/>
              <c:layout>
                <c:manualLayout>
                  <c:x val="8.3333333333333367E-3"/>
                  <c:y val="-2.314814814814814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000000000000001E-2"/>
                  <c:y val="-3.24074074074079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9444444444444445E-2"/>
                  <c:y val="-2.7777777777778442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9444444444444445E-2"/>
                  <c:y val="-2.777777777777847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Лист1!$A$162:$A$165</c:f>
              <c:strCache>
                <c:ptCount val="4"/>
                <c:pt idx="0">
                  <c:v>2014 рік</c:v>
                </c:pt>
                <c:pt idx="1">
                  <c:v>2015 рік</c:v>
                </c:pt>
                <c:pt idx="2">
                  <c:v>2016 рік</c:v>
                </c:pt>
                <c:pt idx="3">
                  <c:v>8 міс. 2017 року</c:v>
                </c:pt>
              </c:strCache>
            </c:strRef>
          </c:cat>
          <c:val>
            <c:numRef>
              <c:f>Лист1!$B$162:$B$165</c:f>
              <c:numCache>
                <c:formatCode>General</c:formatCode>
                <c:ptCount val="4"/>
                <c:pt idx="0">
                  <c:v>0</c:v>
                </c:pt>
                <c:pt idx="1">
                  <c:v>0</c:v>
                </c:pt>
                <c:pt idx="2">
                  <c:v>30</c:v>
                </c:pt>
                <c:pt idx="3">
                  <c:v>198</c:v>
                </c:pt>
              </c:numCache>
            </c:numRef>
          </c:val>
        </c:ser>
        <c:dLbls>
          <c:showLegendKey val="0"/>
          <c:showVal val="0"/>
          <c:showCatName val="0"/>
          <c:showSerName val="0"/>
          <c:showPercent val="0"/>
          <c:showBubbleSize val="0"/>
        </c:dLbls>
        <c:gapWidth val="150"/>
        <c:shape val="cylinder"/>
        <c:axId val="423772472"/>
        <c:axId val="423761104"/>
        <c:axId val="0"/>
      </c:bar3DChart>
      <c:catAx>
        <c:axId val="423772472"/>
        <c:scaling>
          <c:orientation val="minMax"/>
        </c:scaling>
        <c:delete val="0"/>
        <c:axPos val="b"/>
        <c:numFmt formatCode="General" sourceLinked="0"/>
        <c:majorTickMark val="out"/>
        <c:minorTickMark val="none"/>
        <c:tickLblPos val="nextTo"/>
        <c:txPr>
          <a:bodyPr/>
          <a:lstStyle/>
          <a:p>
            <a:pPr>
              <a:defRPr sz="800" b="1">
                <a:latin typeface="Times New Roman" pitchFamily="18" charset="0"/>
                <a:cs typeface="Times New Roman" pitchFamily="18" charset="0"/>
              </a:defRPr>
            </a:pPr>
            <a:endParaRPr lang="ru-RU"/>
          </a:p>
        </c:txPr>
        <c:crossAx val="423761104"/>
        <c:crosses val="autoZero"/>
        <c:auto val="1"/>
        <c:lblAlgn val="ctr"/>
        <c:lblOffset val="100"/>
        <c:noMultiLvlLbl val="0"/>
      </c:catAx>
      <c:valAx>
        <c:axId val="423761104"/>
        <c:scaling>
          <c:orientation val="minMax"/>
        </c:scaling>
        <c:delete val="1"/>
        <c:axPos val="l"/>
        <c:majorGridlines>
          <c:spPr>
            <a:ln>
              <a:noFill/>
            </a:ln>
          </c:spPr>
        </c:majorGridlines>
        <c:numFmt formatCode="General" sourceLinked="1"/>
        <c:majorTickMark val="out"/>
        <c:minorTickMark val="none"/>
        <c:tickLblPos val="none"/>
        <c:crossAx val="423772472"/>
        <c:crosses val="autoZero"/>
        <c:crossBetween val="between"/>
      </c:valAx>
      <c:spPr>
        <a:noFill/>
        <a:ln w="25400">
          <a:noFill/>
        </a:ln>
      </c:spPr>
    </c:plotArea>
    <c:plotVisOnly val="1"/>
    <c:dispBlanksAs val="gap"/>
    <c:showDLblsOverMax val="0"/>
  </c:chart>
  <c:spPr>
    <a:ln>
      <a:noFill/>
    </a:ln>
  </c:sp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uk-UA" sz="1100">
                <a:latin typeface="Times New Roman" pitchFamily="18" charset="0"/>
                <a:cs typeface="Times New Roman" pitchFamily="18" charset="0"/>
              </a:rPr>
              <a:t>Питома</a:t>
            </a:r>
            <a:r>
              <a:rPr lang="uk-UA" sz="1100" baseline="0">
                <a:latin typeface="Times New Roman" pitchFamily="18" charset="0"/>
                <a:cs typeface="Times New Roman" pitchFamily="18" charset="0"/>
              </a:rPr>
              <a:t> вага багатоповерхових будинків, в яких встановлені засоби обліку холодної води, %</a:t>
            </a:r>
            <a:endParaRPr lang="uk-UA" sz="1100">
              <a:latin typeface="Times New Roman" pitchFamily="18" charset="0"/>
              <a:cs typeface="Times New Roman" pitchFamily="18" charset="0"/>
            </a:endParaRPr>
          </a:p>
        </c:rich>
      </c:tx>
      <c:layout>
        <c:manualLayout>
          <c:xMode val="edge"/>
          <c:yMode val="edge"/>
          <c:x val="0.14467372223633337"/>
          <c:y val="0"/>
        </c:manualLayout>
      </c:layout>
      <c:overlay val="0"/>
    </c:title>
    <c:autoTitleDeleted val="0"/>
    <c:view3D>
      <c:rotX val="30"/>
      <c:rotY val="20"/>
      <c:depthPercent val="100"/>
      <c:rAngAx val="1"/>
    </c:view3D>
    <c:floor>
      <c:thickness val="0"/>
    </c:floor>
    <c:sideWall>
      <c:thickness val="0"/>
    </c:sideWall>
    <c:backWall>
      <c:thickness val="0"/>
    </c:backWall>
    <c:plotArea>
      <c:layout>
        <c:manualLayout>
          <c:layoutTarget val="inner"/>
          <c:xMode val="edge"/>
          <c:yMode val="edge"/>
          <c:x val="2.0486219698353687E-3"/>
          <c:y val="0.19567095252333966"/>
          <c:w val="0.99795137803016454"/>
          <c:h val="0.62544903900461823"/>
        </c:manualLayout>
      </c:layout>
      <c:bar3DChart>
        <c:barDir val="col"/>
        <c:grouping val="clustered"/>
        <c:varyColors val="0"/>
        <c:ser>
          <c:idx val="0"/>
          <c:order val="0"/>
          <c:spPr>
            <a:solidFill>
              <a:schemeClr val="tx2">
                <a:lumMod val="60000"/>
                <a:lumOff val="40000"/>
              </a:schemeClr>
            </a:solidFill>
          </c:spPr>
          <c:invertIfNegative val="0"/>
          <c:dLbls>
            <c:dLbl>
              <c:idx val="0"/>
              <c:layout>
                <c:manualLayout>
                  <c:x val="1.1469534050179211E-2"/>
                  <c:y val="-4.826546003016591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469534050179211E-2"/>
                  <c:y val="-5.429864253393692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7204301075268821E-2"/>
                  <c:y val="-4.826546003016591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1469534050179211E-2"/>
                  <c:y val="-6.033182503770741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Лист1!$A$178:$A$181</c:f>
              <c:strCache>
                <c:ptCount val="4"/>
                <c:pt idx="0">
                  <c:v>2014 рік</c:v>
                </c:pt>
                <c:pt idx="1">
                  <c:v>2015 рік</c:v>
                </c:pt>
                <c:pt idx="2">
                  <c:v>2016 рік</c:v>
                </c:pt>
                <c:pt idx="3">
                  <c:v>8 міс. 2017 року</c:v>
                </c:pt>
              </c:strCache>
            </c:strRef>
          </c:cat>
          <c:val>
            <c:numRef>
              <c:f>Лист1!$B$178:$B$181</c:f>
              <c:numCache>
                <c:formatCode>General</c:formatCode>
                <c:ptCount val="4"/>
                <c:pt idx="0">
                  <c:v>0</c:v>
                </c:pt>
                <c:pt idx="1">
                  <c:v>0</c:v>
                </c:pt>
                <c:pt idx="2">
                  <c:v>3.7</c:v>
                </c:pt>
                <c:pt idx="3" formatCode="0.0">
                  <c:v>24.1</c:v>
                </c:pt>
              </c:numCache>
            </c:numRef>
          </c:val>
        </c:ser>
        <c:dLbls>
          <c:showLegendKey val="0"/>
          <c:showVal val="0"/>
          <c:showCatName val="0"/>
          <c:showSerName val="0"/>
          <c:showPercent val="0"/>
          <c:showBubbleSize val="0"/>
        </c:dLbls>
        <c:gapWidth val="100"/>
        <c:shape val="cylinder"/>
        <c:axId val="423762672"/>
        <c:axId val="423773256"/>
        <c:axId val="0"/>
      </c:bar3DChart>
      <c:catAx>
        <c:axId val="423762672"/>
        <c:scaling>
          <c:orientation val="minMax"/>
        </c:scaling>
        <c:delete val="0"/>
        <c:axPos val="b"/>
        <c:numFmt formatCode="General" sourceLinked="0"/>
        <c:majorTickMark val="out"/>
        <c:minorTickMark val="none"/>
        <c:tickLblPos val="nextTo"/>
        <c:txPr>
          <a:bodyPr/>
          <a:lstStyle/>
          <a:p>
            <a:pPr>
              <a:defRPr sz="800" b="1">
                <a:latin typeface="Times New Roman" pitchFamily="18" charset="0"/>
                <a:cs typeface="Times New Roman" pitchFamily="18" charset="0"/>
              </a:defRPr>
            </a:pPr>
            <a:endParaRPr lang="ru-RU"/>
          </a:p>
        </c:txPr>
        <c:crossAx val="423773256"/>
        <c:crosses val="autoZero"/>
        <c:auto val="1"/>
        <c:lblAlgn val="ctr"/>
        <c:lblOffset val="100"/>
        <c:noMultiLvlLbl val="0"/>
      </c:catAx>
      <c:valAx>
        <c:axId val="423773256"/>
        <c:scaling>
          <c:orientation val="minMax"/>
        </c:scaling>
        <c:delete val="1"/>
        <c:axPos val="l"/>
        <c:numFmt formatCode="General" sourceLinked="1"/>
        <c:majorTickMark val="out"/>
        <c:minorTickMark val="none"/>
        <c:tickLblPos val="none"/>
        <c:crossAx val="423762672"/>
        <c:crosses val="autoZero"/>
        <c:crossBetween val="between"/>
      </c:valAx>
    </c:plotArea>
    <c:plotVisOnly val="1"/>
    <c:dispBlanksAs val="zero"/>
    <c:showDLblsOverMax val="0"/>
  </c:chart>
  <c:spPr>
    <a:ln>
      <a:noFill/>
    </a:ln>
  </c:sp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uk-UA" sz="1200">
                <a:latin typeface="Times New Roman" pitchFamily="18" charset="0"/>
                <a:cs typeface="Times New Roman" pitchFamily="18" charset="0"/>
              </a:rPr>
              <a:t>Кількість</a:t>
            </a:r>
            <a:r>
              <a:rPr lang="uk-UA" sz="1200" baseline="0">
                <a:latin typeface="Times New Roman" pitchFamily="18" charset="0"/>
                <a:cs typeface="Times New Roman" pitchFamily="18" charset="0"/>
              </a:rPr>
              <a:t> встановлених засобів обліку холодної води у квартирах багатоповерхових будинків, од.</a:t>
            </a:r>
            <a:endParaRPr lang="uk-UA" sz="1200">
              <a:latin typeface="Times New Roman" pitchFamily="18" charset="0"/>
              <a:cs typeface="Times New Roman" pitchFamily="18" charset="0"/>
            </a:endParaRPr>
          </a:p>
        </c:rich>
      </c:tx>
      <c:layout>
        <c:manualLayout>
          <c:xMode val="edge"/>
          <c:yMode val="edge"/>
          <c:x val="0.1338445624252684"/>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
          <c:y val="0.3105398457583548"/>
          <c:w val="1"/>
          <c:h val="0.50724935732648113"/>
        </c:manualLayout>
      </c:layout>
      <c:bar3DChart>
        <c:barDir val="col"/>
        <c:grouping val="clustered"/>
        <c:varyColors val="0"/>
        <c:ser>
          <c:idx val="0"/>
          <c:order val="0"/>
          <c:invertIfNegative val="0"/>
          <c:cat>
            <c:strRef>
              <c:f>Лист1!$A$195:$A$198</c:f>
              <c:strCache>
                <c:ptCount val="4"/>
                <c:pt idx="0">
                  <c:v>2014 рік</c:v>
                </c:pt>
                <c:pt idx="1">
                  <c:v>2015 рік</c:v>
                </c:pt>
                <c:pt idx="2">
                  <c:v>2016 рік</c:v>
                </c:pt>
                <c:pt idx="3">
                  <c:v>9 міс. 2017 року</c:v>
                </c:pt>
              </c:strCache>
            </c:strRef>
          </c:cat>
          <c:val>
            <c:numRef>
              <c:f>Лист1!$B$195:$B$198</c:f>
              <c:numCache>
                <c:formatCode>General</c:formatCode>
                <c:ptCount val="4"/>
              </c:numCache>
            </c:numRef>
          </c:val>
        </c:ser>
        <c:ser>
          <c:idx val="1"/>
          <c:order val="1"/>
          <c:spPr>
            <a:solidFill>
              <a:schemeClr val="accent1"/>
            </a:solidFill>
          </c:spPr>
          <c:invertIfNegative val="0"/>
          <c:dLbls>
            <c:dLbl>
              <c:idx val="0"/>
              <c:layout>
                <c:manualLayout>
                  <c:x val="1.1111111111111141E-2"/>
                  <c:y val="-9.259259259259342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5.5555555555555558E-3"/>
                  <c:y val="-1.3888888888888935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1111111111111125E-2"/>
                  <c:y val="-4.6296296296296571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3888888888888978E-2"/>
                  <c:y val="-1.388888888888897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Лист1!$A$195:$A$198</c:f>
              <c:strCache>
                <c:ptCount val="4"/>
                <c:pt idx="0">
                  <c:v>2014 рік</c:v>
                </c:pt>
                <c:pt idx="1">
                  <c:v>2015 рік</c:v>
                </c:pt>
                <c:pt idx="2">
                  <c:v>2016 рік</c:v>
                </c:pt>
                <c:pt idx="3">
                  <c:v>9 міс. 2017 року</c:v>
                </c:pt>
              </c:strCache>
            </c:strRef>
          </c:cat>
          <c:val>
            <c:numRef>
              <c:f>Лист1!$C$195:$C$198</c:f>
              <c:numCache>
                <c:formatCode>General</c:formatCode>
                <c:ptCount val="4"/>
                <c:pt idx="0">
                  <c:v>53211</c:v>
                </c:pt>
                <c:pt idx="1">
                  <c:v>55196</c:v>
                </c:pt>
                <c:pt idx="2">
                  <c:v>56364</c:v>
                </c:pt>
                <c:pt idx="3">
                  <c:v>57890</c:v>
                </c:pt>
              </c:numCache>
            </c:numRef>
          </c:val>
        </c:ser>
        <c:dLbls>
          <c:showLegendKey val="0"/>
          <c:showVal val="0"/>
          <c:showCatName val="0"/>
          <c:showSerName val="0"/>
          <c:showPercent val="0"/>
          <c:showBubbleSize val="0"/>
        </c:dLbls>
        <c:gapWidth val="150"/>
        <c:shape val="cylinder"/>
        <c:axId val="423783056"/>
        <c:axId val="423784232"/>
        <c:axId val="0"/>
      </c:bar3DChart>
      <c:catAx>
        <c:axId val="423783056"/>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423784232"/>
        <c:crosses val="autoZero"/>
        <c:auto val="1"/>
        <c:lblAlgn val="ctr"/>
        <c:lblOffset val="100"/>
        <c:noMultiLvlLbl val="0"/>
      </c:catAx>
      <c:valAx>
        <c:axId val="423784232"/>
        <c:scaling>
          <c:orientation val="minMax"/>
        </c:scaling>
        <c:delete val="1"/>
        <c:axPos val="l"/>
        <c:numFmt formatCode="General" sourceLinked="1"/>
        <c:majorTickMark val="out"/>
        <c:minorTickMark val="none"/>
        <c:tickLblPos val="none"/>
        <c:crossAx val="423783056"/>
        <c:crosses val="autoZero"/>
        <c:crossBetween val="between"/>
      </c:valAx>
    </c:plotArea>
    <c:plotVisOnly val="1"/>
    <c:dispBlanksAs val="gap"/>
    <c:showDLblsOverMax val="0"/>
  </c:chart>
  <c:spPr>
    <a:ln>
      <a:noFill/>
    </a:ln>
  </c:sp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uk-UA" sz="1200">
                <a:latin typeface="Times New Roman" pitchFamily="18" charset="0"/>
                <a:cs typeface="Times New Roman" pitchFamily="18" charset="0"/>
              </a:rPr>
              <a:t>Питома</a:t>
            </a:r>
            <a:r>
              <a:rPr lang="uk-UA" sz="1200" baseline="0">
                <a:latin typeface="Times New Roman" pitchFamily="18" charset="0"/>
                <a:cs typeface="Times New Roman" pitchFamily="18" charset="0"/>
              </a:rPr>
              <a:t> вага квартир у яких  встановлені засоби обліку холодної води, %</a:t>
            </a:r>
            <a:endParaRPr lang="uk-UA" sz="1200">
              <a:latin typeface="Times New Roman" pitchFamily="18" charset="0"/>
              <a:cs typeface="Times New Roman" pitchFamily="18" charset="0"/>
            </a:endParaRPr>
          </a:p>
        </c:rich>
      </c:tx>
      <c:layout>
        <c:manualLayout>
          <c:xMode val="edge"/>
          <c:yMode val="edge"/>
          <c:x val="0.17945494214164301"/>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
          <c:y val="0.23879153403696968"/>
          <c:w val="1"/>
          <c:h val="0.57100575194058456"/>
        </c:manualLayout>
      </c:layout>
      <c:bar3DChart>
        <c:barDir val="col"/>
        <c:grouping val="clustered"/>
        <c:varyColors val="0"/>
        <c:ser>
          <c:idx val="0"/>
          <c:order val="0"/>
          <c:invertIfNegative val="0"/>
          <c:cat>
            <c:strRef>
              <c:f>Лист1!$A$212:$A$215</c:f>
              <c:strCache>
                <c:ptCount val="4"/>
                <c:pt idx="0">
                  <c:v>2014 рік</c:v>
                </c:pt>
                <c:pt idx="1">
                  <c:v>2015 рік</c:v>
                </c:pt>
                <c:pt idx="2">
                  <c:v>2016 рік</c:v>
                </c:pt>
                <c:pt idx="3">
                  <c:v>9 міс. 2017 року</c:v>
                </c:pt>
              </c:strCache>
            </c:strRef>
          </c:cat>
          <c:val>
            <c:numRef>
              <c:f>Лист1!$B$212:$B$215</c:f>
              <c:numCache>
                <c:formatCode>General</c:formatCode>
                <c:ptCount val="4"/>
              </c:numCache>
            </c:numRef>
          </c:val>
        </c:ser>
        <c:ser>
          <c:idx val="1"/>
          <c:order val="1"/>
          <c:spPr>
            <a:solidFill>
              <a:schemeClr val="accent1"/>
            </a:solidFill>
          </c:spPr>
          <c:invertIfNegative val="0"/>
          <c:dLbls>
            <c:dLbl>
              <c:idx val="0"/>
              <c:layout>
                <c:manualLayout>
                  <c:x val="1.1111111111111125E-2"/>
                  <c:y val="-1.388888888888897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3888888888888923E-2"/>
                  <c:y val="-2.314814814814814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5555555555555558E-3"/>
                  <c:y val="-1.8518518518518583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1111111111111221E-2"/>
                  <c:y val="-1.388888888888897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Лист1!$A$212:$A$215</c:f>
              <c:strCache>
                <c:ptCount val="4"/>
                <c:pt idx="0">
                  <c:v>2014 рік</c:v>
                </c:pt>
                <c:pt idx="1">
                  <c:v>2015 рік</c:v>
                </c:pt>
                <c:pt idx="2">
                  <c:v>2016 рік</c:v>
                </c:pt>
                <c:pt idx="3">
                  <c:v>9 міс. 2017 року</c:v>
                </c:pt>
              </c:strCache>
            </c:strRef>
          </c:cat>
          <c:val>
            <c:numRef>
              <c:f>Лист1!$C$212:$C$215</c:f>
              <c:numCache>
                <c:formatCode>General</c:formatCode>
                <c:ptCount val="4"/>
                <c:pt idx="0">
                  <c:v>66.900000000000006</c:v>
                </c:pt>
                <c:pt idx="1">
                  <c:v>69.400000000000006</c:v>
                </c:pt>
                <c:pt idx="2" formatCode="0.0">
                  <c:v>71</c:v>
                </c:pt>
                <c:pt idx="3" formatCode="0.0">
                  <c:v>72</c:v>
                </c:pt>
              </c:numCache>
            </c:numRef>
          </c:val>
        </c:ser>
        <c:dLbls>
          <c:showLegendKey val="0"/>
          <c:showVal val="0"/>
          <c:showCatName val="0"/>
          <c:showSerName val="0"/>
          <c:showPercent val="0"/>
          <c:showBubbleSize val="0"/>
        </c:dLbls>
        <c:gapWidth val="150"/>
        <c:shape val="cylinder"/>
        <c:axId val="423781096"/>
        <c:axId val="423777960"/>
        <c:axId val="0"/>
      </c:bar3DChart>
      <c:catAx>
        <c:axId val="423781096"/>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423777960"/>
        <c:crosses val="autoZero"/>
        <c:auto val="1"/>
        <c:lblAlgn val="ctr"/>
        <c:lblOffset val="100"/>
        <c:noMultiLvlLbl val="0"/>
      </c:catAx>
      <c:valAx>
        <c:axId val="423777960"/>
        <c:scaling>
          <c:orientation val="minMax"/>
        </c:scaling>
        <c:delete val="1"/>
        <c:axPos val="l"/>
        <c:numFmt formatCode="General" sourceLinked="1"/>
        <c:majorTickMark val="out"/>
        <c:minorTickMark val="none"/>
        <c:tickLblPos val="none"/>
        <c:crossAx val="423781096"/>
        <c:crosses val="autoZero"/>
        <c:crossBetween val="between"/>
      </c:valAx>
      <c:spPr>
        <a:noFill/>
        <a:ln w="25400">
          <a:noFill/>
        </a:ln>
      </c:spPr>
    </c:plotArea>
    <c:plotVisOnly val="1"/>
    <c:dispBlanksAs val="gap"/>
    <c:showDLblsOverMax val="0"/>
  </c:chart>
  <c:spPr>
    <a:ln>
      <a:noFill/>
    </a:ln>
  </c:sp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uk-UA" sz="1200">
                <a:latin typeface="Times New Roman" pitchFamily="18" charset="0"/>
                <a:cs typeface="Times New Roman" pitchFamily="18" charset="0"/>
              </a:rPr>
              <a:t>Кількість</a:t>
            </a:r>
            <a:r>
              <a:rPr lang="uk-UA" sz="1200" baseline="0">
                <a:latin typeface="Times New Roman" pitchFamily="18" charset="0"/>
                <a:cs typeface="Times New Roman" pitchFamily="18" charset="0"/>
              </a:rPr>
              <a:t> встановлених засобів обліку холодної води у приватних будинках, од.</a:t>
            </a:r>
            <a:endParaRPr lang="uk-UA" sz="1200">
              <a:latin typeface="Times New Roman" pitchFamily="18" charset="0"/>
              <a:cs typeface="Times New Roman" pitchFamily="18" charset="0"/>
            </a:endParaRPr>
          </a:p>
        </c:rich>
      </c:tx>
      <c:layout>
        <c:manualLayout>
          <c:xMode val="edge"/>
          <c:yMode val="edge"/>
          <c:x val="0.12189576002398558"/>
          <c:y val="3.2513874696960747E-3"/>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
          <c:y val="0.26522231418373909"/>
          <c:w val="0.9897978525411627"/>
          <c:h val="0.51216690948514898"/>
        </c:manualLayout>
      </c:layout>
      <c:bar3DChart>
        <c:barDir val="col"/>
        <c:grouping val="clustered"/>
        <c:varyColors val="0"/>
        <c:ser>
          <c:idx val="0"/>
          <c:order val="0"/>
          <c:invertIfNegative val="0"/>
          <c:cat>
            <c:strRef>
              <c:f>Лист1!$A$231:$A$234</c:f>
              <c:strCache>
                <c:ptCount val="4"/>
                <c:pt idx="0">
                  <c:v>2014 рік</c:v>
                </c:pt>
                <c:pt idx="1">
                  <c:v>2015 рік</c:v>
                </c:pt>
                <c:pt idx="2">
                  <c:v>2016 рік</c:v>
                </c:pt>
                <c:pt idx="3">
                  <c:v>9 міс. 2017 року</c:v>
                </c:pt>
              </c:strCache>
            </c:strRef>
          </c:cat>
          <c:val>
            <c:numRef>
              <c:f>Лист1!$B$231:$B$234</c:f>
              <c:numCache>
                <c:formatCode>General</c:formatCode>
                <c:ptCount val="4"/>
              </c:numCache>
            </c:numRef>
          </c:val>
        </c:ser>
        <c:ser>
          <c:idx val="1"/>
          <c:order val="1"/>
          <c:invertIfNegative val="0"/>
          <c:dPt>
            <c:idx val="0"/>
            <c:invertIfNegative val="0"/>
            <c:bubble3D val="0"/>
            <c:spPr>
              <a:solidFill>
                <a:schemeClr val="accent1"/>
              </a:solidFill>
            </c:spPr>
          </c:dPt>
          <c:dPt>
            <c:idx val="1"/>
            <c:invertIfNegative val="0"/>
            <c:bubble3D val="0"/>
            <c:spPr>
              <a:solidFill>
                <a:schemeClr val="accent1"/>
              </a:solidFill>
            </c:spPr>
          </c:dPt>
          <c:dPt>
            <c:idx val="2"/>
            <c:invertIfNegative val="0"/>
            <c:bubble3D val="0"/>
            <c:spPr>
              <a:solidFill>
                <a:schemeClr val="accent1"/>
              </a:solidFill>
            </c:spPr>
          </c:dPt>
          <c:dPt>
            <c:idx val="3"/>
            <c:invertIfNegative val="0"/>
            <c:bubble3D val="0"/>
            <c:spPr>
              <a:solidFill>
                <a:schemeClr val="accent1"/>
              </a:solidFill>
            </c:spPr>
          </c:dPt>
          <c:dLbls>
            <c:dLbl>
              <c:idx val="0"/>
              <c:layout>
                <c:manualLayout>
                  <c:x val="5.5555555555555775E-3"/>
                  <c:y val="-1.388888888888897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8.3333333333333367E-3"/>
                  <c:y val="-1.851851851851858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3888888888888978E-2"/>
                  <c:y val="-1.388888888888893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8.3333333333333367E-3"/>
                  <c:y val="-1.388888888888897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Лист1!$A$231:$A$234</c:f>
              <c:strCache>
                <c:ptCount val="4"/>
                <c:pt idx="0">
                  <c:v>2014 рік</c:v>
                </c:pt>
                <c:pt idx="1">
                  <c:v>2015 рік</c:v>
                </c:pt>
                <c:pt idx="2">
                  <c:v>2016 рік</c:v>
                </c:pt>
                <c:pt idx="3">
                  <c:v>9 міс. 2017 року</c:v>
                </c:pt>
              </c:strCache>
            </c:strRef>
          </c:cat>
          <c:val>
            <c:numRef>
              <c:f>Лист1!$C$231:$C$234</c:f>
              <c:numCache>
                <c:formatCode>General</c:formatCode>
                <c:ptCount val="4"/>
                <c:pt idx="0">
                  <c:v>9774</c:v>
                </c:pt>
                <c:pt idx="1">
                  <c:v>10443</c:v>
                </c:pt>
                <c:pt idx="2">
                  <c:v>10856</c:v>
                </c:pt>
                <c:pt idx="3">
                  <c:v>11410</c:v>
                </c:pt>
              </c:numCache>
            </c:numRef>
          </c:val>
        </c:ser>
        <c:dLbls>
          <c:showLegendKey val="0"/>
          <c:showVal val="0"/>
          <c:showCatName val="0"/>
          <c:showSerName val="0"/>
          <c:showPercent val="0"/>
          <c:showBubbleSize val="0"/>
        </c:dLbls>
        <c:gapWidth val="150"/>
        <c:shape val="cylinder"/>
        <c:axId val="423778744"/>
        <c:axId val="423780312"/>
        <c:axId val="0"/>
      </c:bar3DChart>
      <c:catAx>
        <c:axId val="423778744"/>
        <c:scaling>
          <c:orientation val="minMax"/>
        </c:scaling>
        <c:delete val="0"/>
        <c:axPos val="b"/>
        <c:numFmt formatCode="General" sourceLinked="0"/>
        <c:majorTickMark val="out"/>
        <c:minorTickMark val="none"/>
        <c:tickLblPos val="nextTo"/>
        <c:txPr>
          <a:bodyPr/>
          <a:lstStyle/>
          <a:p>
            <a:pPr>
              <a:defRPr sz="1000" b="1">
                <a:latin typeface="Times New Roman" pitchFamily="18" charset="0"/>
                <a:cs typeface="Times New Roman" pitchFamily="18" charset="0"/>
              </a:defRPr>
            </a:pPr>
            <a:endParaRPr lang="ru-RU"/>
          </a:p>
        </c:txPr>
        <c:crossAx val="423780312"/>
        <c:crosses val="autoZero"/>
        <c:auto val="1"/>
        <c:lblAlgn val="ctr"/>
        <c:lblOffset val="100"/>
        <c:noMultiLvlLbl val="0"/>
      </c:catAx>
      <c:valAx>
        <c:axId val="423780312"/>
        <c:scaling>
          <c:orientation val="minMax"/>
        </c:scaling>
        <c:delete val="1"/>
        <c:axPos val="l"/>
        <c:numFmt formatCode="General" sourceLinked="1"/>
        <c:majorTickMark val="out"/>
        <c:minorTickMark val="none"/>
        <c:tickLblPos val="none"/>
        <c:crossAx val="423778744"/>
        <c:crosses val="autoZero"/>
        <c:crossBetween val="between"/>
      </c:valAx>
      <c:spPr>
        <a:ln>
          <a:noFill/>
        </a:ln>
      </c:spPr>
    </c:plotArea>
    <c:plotVisOnly val="1"/>
    <c:dispBlanksAs val="gap"/>
    <c:showDLblsOverMax val="0"/>
  </c:chart>
  <c:spPr>
    <a:ln>
      <a:noFill/>
    </a:ln>
  </c:sp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uk-UA" sz="1200">
                <a:latin typeface="Times New Roman" pitchFamily="18" charset="0"/>
                <a:cs typeface="Times New Roman" pitchFamily="18" charset="0"/>
              </a:rPr>
              <a:t>Питома</a:t>
            </a:r>
            <a:r>
              <a:rPr lang="uk-UA" sz="1200" baseline="0">
                <a:latin typeface="Times New Roman" pitchFamily="18" charset="0"/>
                <a:cs typeface="Times New Roman" pitchFamily="18" charset="0"/>
              </a:rPr>
              <a:t> вага приватних будинків у яких встановлені засоби обліку холодної води, %</a:t>
            </a:r>
            <a:endParaRPr lang="uk-UA" sz="1200">
              <a:latin typeface="Times New Roman" pitchFamily="18" charset="0"/>
              <a:cs typeface="Times New Roman" pitchFamily="18" charset="0"/>
            </a:endParaRPr>
          </a:p>
        </c:rich>
      </c:tx>
      <c:layout>
        <c:manualLayout>
          <c:xMode val="edge"/>
          <c:yMode val="edge"/>
          <c:x val="0.12742857142857117"/>
          <c:y val="5.8224136334336834E-3"/>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3.0555555555555582E-2"/>
          <c:y val="0.29105673134923765"/>
          <c:w val="0.93888888888889144"/>
          <c:h val="0.4954615321412183"/>
        </c:manualLayout>
      </c:layout>
      <c:bar3DChart>
        <c:barDir val="col"/>
        <c:grouping val="clustered"/>
        <c:varyColors val="0"/>
        <c:ser>
          <c:idx val="0"/>
          <c:order val="0"/>
          <c:invertIfNegative val="0"/>
          <c:cat>
            <c:strRef>
              <c:f>Лист1!$A$249:$A$252</c:f>
              <c:strCache>
                <c:ptCount val="4"/>
                <c:pt idx="0">
                  <c:v>2014 рік</c:v>
                </c:pt>
                <c:pt idx="1">
                  <c:v>2015 рік</c:v>
                </c:pt>
                <c:pt idx="2">
                  <c:v>2016 рік</c:v>
                </c:pt>
                <c:pt idx="3">
                  <c:v>9 міс. 2017 року</c:v>
                </c:pt>
              </c:strCache>
            </c:strRef>
          </c:cat>
          <c:val>
            <c:numRef>
              <c:f>Лист1!$B$249:$B$252</c:f>
              <c:numCache>
                <c:formatCode>General</c:formatCode>
                <c:ptCount val="4"/>
              </c:numCache>
            </c:numRef>
          </c:val>
        </c:ser>
        <c:ser>
          <c:idx val="1"/>
          <c:order val="1"/>
          <c:spPr>
            <a:solidFill>
              <a:schemeClr val="accent1"/>
            </a:solidFill>
          </c:spPr>
          <c:invertIfNegative val="0"/>
          <c:dLbls>
            <c:dLbl>
              <c:idx val="0"/>
              <c:layout>
                <c:manualLayout>
                  <c:x val="1.9444444444444445E-2"/>
                  <c:y val="-2.777777777777804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3888670166229225E-2"/>
                  <c:y val="-1.851851851851858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8.3333333333333367E-3"/>
                  <c:y val="-1.3888888888888978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3888888888888978E-2"/>
                  <c:y val="-1.388888888888897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Лист1!$A$249:$A$252</c:f>
              <c:strCache>
                <c:ptCount val="4"/>
                <c:pt idx="0">
                  <c:v>2014 рік</c:v>
                </c:pt>
                <c:pt idx="1">
                  <c:v>2015 рік</c:v>
                </c:pt>
                <c:pt idx="2">
                  <c:v>2016 рік</c:v>
                </c:pt>
                <c:pt idx="3">
                  <c:v>9 міс. 2017 року</c:v>
                </c:pt>
              </c:strCache>
            </c:strRef>
          </c:cat>
          <c:val>
            <c:numRef>
              <c:f>Лист1!$C$249:$C$252</c:f>
              <c:numCache>
                <c:formatCode>General</c:formatCode>
                <c:ptCount val="4"/>
                <c:pt idx="0">
                  <c:v>51.6</c:v>
                </c:pt>
                <c:pt idx="1">
                  <c:v>54.6</c:v>
                </c:pt>
                <c:pt idx="2">
                  <c:v>56.2</c:v>
                </c:pt>
                <c:pt idx="3">
                  <c:v>58.6</c:v>
                </c:pt>
              </c:numCache>
            </c:numRef>
          </c:val>
        </c:ser>
        <c:dLbls>
          <c:showLegendKey val="0"/>
          <c:showVal val="0"/>
          <c:showCatName val="0"/>
          <c:showSerName val="0"/>
          <c:showPercent val="0"/>
          <c:showBubbleSize val="0"/>
        </c:dLbls>
        <c:gapWidth val="150"/>
        <c:shape val="cylinder"/>
        <c:axId val="423775608"/>
        <c:axId val="423776392"/>
        <c:axId val="0"/>
      </c:bar3DChart>
      <c:catAx>
        <c:axId val="423775608"/>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423776392"/>
        <c:crosses val="autoZero"/>
        <c:auto val="1"/>
        <c:lblAlgn val="ctr"/>
        <c:lblOffset val="100"/>
        <c:noMultiLvlLbl val="0"/>
      </c:catAx>
      <c:valAx>
        <c:axId val="423776392"/>
        <c:scaling>
          <c:orientation val="minMax"/>
        </c:scaling>
        <c:delete val="1"/>
        <c:axPos val="l"/>
        <c:numFmt formatCode="General" sourceLinked="1"/>
        <c:majorTickMark val="out"/>
        <c:minorTickMark val="none"/>
        <c:tickLblPos val="none"/>
        <c:crossAx val="423775608"/>
        <c:crosses val="autoZero"/>
        <c:crossBetween val="between"/>
      </c:valAx>
      <c:spPr>
        <a:noFill/>
        <a:ln w="25400">
          <a:noFill/>
        </a:ln>
      </c:spPr>
    </c:plotArea>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Капітальні інвестиції, млн.грн.</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3.7542662116041001E-2"/>
          <c:y val="0.19708454810495618"/>
          <c:w val="0.92491467576791087"/>
          <c:h val="0.62542274052478164"/>
        </c:manualLayout>
      </c:layout>
      <c:bar3DChart>
        <c:barDir val="col"/>
        <c:grouping val="clustered"/>
        <c:varyColors val="0"/>
        <c:ser>
          <c:idx val="0"/>
          <c:order val="0"/>
          <c:invertIfNegative val="0"/>
          <c:dLbls>
            <c:dLbl>
              <c:idx val="0"/>
              <c:layout>
                <c:manualLayout>
                  <c:x val="1.8058690744920992E-2"/>
                  <c:y val="-1.91158900836319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058690744920992E-2"/>
                  <c:y val="-2.389486260454008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0293453724605028E-3"/>
                  <c:y val="-1.433691756272378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8058690744920992E-2"/>
                  <c:y val="-1.91158900836322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Лист1!$A$162:$A$165</c:f>
              <c:strCache>
                <c:ptCount val="4"/>
                <c:pt idx="0">
                  <c:v>2014 рік</c:v>
                </c:pt>
                <c:pt idx="1">
                  <c:v>2015 рік</c:v>
                </c:pt>
                <c:pt idx="2">
                  <c:v>2016 рік</c:v>
                </c:pt>
                <c:pt idx="3">
                  <c:v>6 міс. 2017 року</c:v>
                </c:pt>
              </c:strCache>
            </c:strRef>
          </c:cat>
          <c:val>
            <c:numRef>
              <c:f>Лист1!$B$162:$B$165</c:f>
              <c:numCache>
                <c:formatCode>General</c:formatCode>
                <c:ptCount val="4"/>
                <c:pt idx="0">
                  <c:v>954.3</c:v>
                </c:pt>
                <c:pt idx="1">
                  <c:v>1128.7</c:v>
                </c:pt>
                <c:pt idx="2">
                  <c:v>1606.3</c:v>
                </c:pt>
                <c:pt idx="3">
                  <c:v>751.3</c:v>
                </c:pt>
              </c:numCache>
            </c:numRef>
          </c:val>
        </c:ser>
        <c:dLbls>
          <c:showLegendKey val="0"/>
          <c:showVal val="0"/>
          <c:showCatName val="0"/>
          <c:showSerName val="0"/>
          <c:showPercent val="0"/>
          <c:showBubbleSize val="0"/>
        </c:dLbls>
        <c:gapWidth val="150"/>
        <c:shape val="box"/>
        <c:axId val="423743072"/>
        <c:axId val="423743856"/>
        <c:axId val="0"/>
      </c:bar3DChart>
      <c:catAx>
        <c:axId val="423743072"/>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423743856"/>
        <c:crosses val="autoZero"/>
        <c:auto val="1"/>
        <c:lblAlgn val="ctr"/>
        <c:lblOffset val="100"/>
        <c:noMultiLvlLbl val="0"/>
      </c:catAx>
      <c:valAx>
        <c:axId val="423743856"/>
        <c:scaling>
          <c:orientation val="minMax"/>
        </c:scaling>
        <c:delete val="1"/>
        <c:axPos val="l"/>
        <c:numFmt formatCode="General" sourceLinked="1"/>
        <c:majorTickMark val="out"/>
        <c:minorTickMark val="none"/>
        <c:tickLblPos val="none"/>
        <c:crossAx val="423743072"/>
        <c:crosses val="autoZero"/>
        <c:crossBetween val="between"/>
      </c:valAx>
    </c:plotArea>
    <c:plotVisOnly val="1"/>
    <c:dispBlanksAs val="gap"/>
    <c:showDLblsOverMax val="0"/>
  </c:chart>
  <c:spPr>
    <a:ln>
      <a:noFill/>
    </a:ln>
  </c:sp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uk-UA" sz="1200">
                <a:latin typeface="Times New Roman" pitchFamily="18" charset="0"/>
                <a:cs typeface="Times New Roman" pitchFamily="18" charset="0"/>
              </a:rPr>
              <a:t>Протяжність</a:t>
            </a:r>
            <a:r>
              <a:rPr lang="uk-UA" sz="1200" baseline="0">
                <a:latin typeface="Times New Roman" pitchFamily="18" charset="0"/>
                <a:cs typeface="Times New Roman" pitchFamily="18" charset="0"/>
              </a:rPr>
              <a:t> теплових мереж, в т.ч. аварійних та оновлених, км</a:t>
            </a:r>
            <a:endParaRPr lang="uk-UA" sz="1200">
              <a:latin typeface="Times New Roman" pitchFamily="18" charset="0"/>
              <a:cs typeface="Times New Roman" pitchFamily="18" charset="0"/>
            </a:endParaRPr>
          </a:p>
        </c:rich>
      </c:tx>
      <c:layout>
        <c:manualLayout>
          <c:xMode val="edge"/>
          <c:yMode val="edge"/>
          <c:x val="0.19268044619422742"/>
          <c:y val="1.3888888888889103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229177174254876"/>
          <c:y val="9.91185740336675E-2"/>
          <c:w val="0.60998617448629022"/>
          <c:h val="0.89814814814814814"/>
        </c:manualLayout>
      </c:layout>
      <c:bar3DChart>
        <c:barDir val="bar"/>
        <c:grouping val="clustered"/>
        <c:varyColors val="0"/>
        <c:ser>
          <c:idx val="0"/>
          <c:order val="0"/>
          <c:tx>
            <c:strRef>
              <c:f>Лист1!$B$113</c:f>
              <c:strCache>
                <c:ptCount val="1"/>
                <c:pt idx="0">
                  <c:v>Протяжність теплових мереж</c:v>
                </c:pt>
              </c:strCache>
            </c:strRef>
          </c:tx>
          <c:invertIfNegative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Лист1!$A$114:$A$117</c:f>
              <c:strCache>
                <c:ptCount val="4"/>
                <c:pt idx="0">
                  <c:v>2014 рік</c:v>
                </c:pt>
                <c:pt idx="1">
                  <c:v>2015 рік</c:v>
                </c:pt>
                <c:pt idx="2">
                  <c:v>2016 рік</c:v>
                </c:pt>
                <c:pt idx="3">
                  <c:v>8 міс. 2017 року</c:v>
                </c:pt>
              </c:strCache>
            </c:strRef>
          </c:cat>
          <c:val>
            <c:numRef>
              <c:f>Лист1!$B$114:$B$117</c:f>
              <c:numCache>
                <c:formatCode>General</c:formatCode>
                <c:ptCount val="4"/>
                <c:pt idx="0">
                  <c:v>207.8</c:v>
                </c:pt>
                <c:pt idx="1">
                  <c:v>207.1</c:v>
                </c:pt>
                <c:pt idx="2">
                  <c:v>206.9</c:v>
                </c:pt>
                <c:pt idx="3">
                  <c:v>206.7</c:v>
                </c:pt>
              </c:numCache>
            </c:numRef>
          </c:val>
        </c:ser>
        <c:ser>
          <c:idx val="1"/>
          <c:order val="1"/>
          <c:tx>
            <c:strRef>
              <c:f>Лист1!$C$113</c:f>
              <c:strCache>
                <c:ptCount val="1"/>
                <c:pt idx="0">
                  <c:v>Аварійні мережі</c:v>
                </c:pt>
              </c:strCache>
            </c:strRef>
          </c:tx>
          <c:spPr>
            <a:solidFill>
              <a:schemeClr val="accent2">
                <a:lumMod val="60000"/>
                <a:lumOff val="40000"/>
              </a:schemeClr>
            </a:solidFill>
          </c:spPr>
          <c:invertIfNegative val="0"/>
          <c:dLbls>
            <c:dLbl>
              <c:idx val="0"/>
              <c:layout>
                <c:manualLayout>
                  <c:x val="3.0143180105501152E-3"/>
                  <c:y val="-1.606425702811252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0286360211002313E-3"/>
                  <c:y val="-1.606425702811252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0143180105500602E-3"/>
                  <c:y val="-2.67737617135211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0143180105501152E-3"/>
                  <c:y val="-2.141900937081660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Лист1!$A$114:$A$117</c:f>
              <c:strCache>
                <c:ptCount val="4"/>
                <c:pt idx="0">
                  <c:v>2014 рік</c:v>
                </c:pt>
                <c:pt idx="1">
                  <c:v>2015 рік</c:v>
                </c:pt>
                <c:pt idx="2">
                  <c:v>2016 рік</c:v>
                </c:pt>
                <c:pt idx="3">
                  <c:v>8 міс. 2017 року</c:v>
                </c:pt>
              </c:strCache>
            </c:strRef>
          </c:cat>
          <c:val>
            <c:numRef>
              <c:f>Лист1!$C$114:$C$117</c:f>
              <c:numCache>
                <c:formatCode>General</c:formatCode>
                <c:ptCount val="4"/>
                <c:pt idx="0">
                  <c:v>145.5</c:v>
                </c:pt>
                <c:pt idx="1">
                  <c:v>147.1</c:v>
                </c:pt>
                <c:pt idx="2">
                  <c:v>153.1</c:v>
                </c:pt>
                <c:pt idx="3">
                  <c:v>157.5</c:v>
                </c:pt>
              </c:numCache>
            </c:numRef>
          </c:val>
        </c:ser>
        <c:ser>
          <c:idx val="2"/>
          <c:order val="2"/>
          <c:tx>
            <c:strRef>
              <c:f>Лист1!$D$113</c:f>
              <c:strCache>
                <c:ptCount val="1"/>
                <c:pt idx="0">
                  <c:v>Оновлені мережі</c:v>
                </c:pt>
              </c:strCache>
            </c:strRef>
          </c:tx>
          <c:invertIfNegative val="0"/>
          <c:dLbls>
            <c:dLbl>
              <c:idx val="0"/>
              <c:layout>
                <c:manualLayout>
                  <c:x val="1.2057272042200452E-2"/>
                  <c:y val="-1.606425702811240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9.0429540316503548E-3"/>
                  <c:y val="-1.0709504685408509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0286360211002313E-3"/>
                  <c:y val="-1.6064257028112521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5071590052750565E-2"/>
                  <c:y val="-1.606425702811252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Лист1!$A$114:$A$117</c:f>
              <c:strCache>
                <c:ptCount val="4"/>
                <c:pt idx="0">
                  <c:v>2014 рік</c:v>
                </c:pt>
                <c:pt idx="1">
                  <c:v>2015 рік</c:v>
                </c:pt>
                <c:pt idx="2">
                  <c:v>2016 рік</c:v>
                </c:pt>
                <c:pt idx="3">
                  <c:v>8 міс. 2017 року</c:v>
                </c:pt>
              </c:strCache>
            </c:strRef>
          </c:cat>
          <c:val>
            <c:numRef>
              <c:f>Лист1!$D$114:$D$117</c:f>
              <c:numCache>
                <c:formatCode>General</c:formatCode>
                <c:ptCount val="4"/>
                <c:pt idx="0">
                  <c:v>2.4</c:v>
                </c:pt>
                <c:pt idx="1">
                  <c:v>3.3</c:v>
                </c:pt>
                <c:pt idx="2" formatCode="0.0">
                  <c:v>3</c:v>
                </c:pt>
                <c:pt idx="3">
                  <c:v>2.2000000000000002</c:v>
                </c:pt>
              </c:numCache>
            </c:numRef>
          </c:val>
        </c:ser>
        <c:dLbls>
          <c:showLegendKey val="0"/>
          <c:showVal val="0"/>
          <c:showCatName val="0"/>
          <c:showSerName val="0"/>
          <c:showPercent val="0"/>
          <c:showBubbleSize val="0"/>
        </c:dLbls>
        <c:gapWidth val="150"/>
        <c:shape val="cylinder"/>
        <c:axId val="423782272"/>
        <c:axId val="423785800"/>
        <c:axId val="0"/>
      </c:bar3DChart>
      <c:catAx>
        <c:axId val="423782272"/>
        <c:scaling>
          <c:orientation val="minMax"/>
        </c:scaling>
        <c:delete val="0"/>
        <c:axPos val="l"/>
        <c:numFmt formatCode="General" sourceLinked="0"/>
        <c:majorTickMark val="out"/>
        <c:minorTickMark val="none"/>
        <c:tickLblPos val="nextTo"/>
        <c:txPr>
          <a:bodyPr/>
          <a:lstStyle/>
          <a:p>
            <a:pPr>
              <a:defRPr sz="900" b="1">
                <a:latin typeface="Times New Roman" pitchFamily="18" charset="0"/>
                <a:cs typeface="Times New Roman" pitchFamily="18" charset="0"/>
              </a:defRPr>
            </a:pPr>
            <a:endParaRPr lang="ru-RU"/>
          </a:p>
        </c:txPr>
        <c:crossAx val="423785800"/>
        <c:crosses val="autoZero"/>
        <c:auto val="1"/>
        <c:lblAlgn val="ctr"/>
        <c:lblOffset val="100"/>
        <c:noMultiLvlLbl val="0"/>
      </c:catAx>
      <c:valAx>
        <c:axId val="423785800"/>
        <c:scaling>
          <c:orientation val="minMax"/>
        </c:scaling>
        <c:delete val="1"/>
        <c:axPos val="b"/>
        <c:majorGridlines>
          <c:spPr>
            <a:ln>
              <a:noFill/>
            </a:ln>
          </c:spPr>
        </c:majorGridlines>
        <c:numFmt formatCode="General" sourceLinked="1"/>
        <c:majorTickMark val="out"/>
        <c:minorTickMark val="none"/>
        <c:tickLblPos val="none"/>
        <c:crossAx val="423782272"/>
        <c:crosses val="autoZero"/>
        <c:crossBetween val="between"/>
      </c:valAx>
    </c:plotArea>
    <c:legend>
      <c:legendPos val="r"/>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itchFamily="18" charset="0"/>
                <a:cs typeface="Times New Roman" pitchFamily="18" charset="0"/>
              </a:defRPr>
            </a:pPr>
            <a:r>
              <a:rPr lang="uk-UA" sz="1100">
                <a:latin typeface="Times New Roman" pitchFamily="18" charset="0"/>
                <a:cs typeface="Times New Roman" pitchFamily="18" charset="0"/>
              </a:rPr>
              <a:t>Кількість</a:t>
            </a:r>
            <a:r>
              <a:rPr lang="uk-UA" sz="1100" baseline="0">
                <a:latin typeface="Times New Roman" pitchFamily="18" charset="0"/>
                <a:cs typeface="Times New Roman" pitchFamily="18" charset="0"/>
              </a:rPr>
              <a:t> влаштованих приладів обліку теплової енергії в багатоповерхових житлових будинках, од.</a:t>
            </a:r>
            <a:endParaRPr lang="uk-UA" sz="1100">
              <a:latin typeface="Times New Roman" pitchFamily="18" charset="0"/>
              <a:cs typeface="Times New Roman" pitchFamily="18" charset="0"/>
            </a:endParaRPr>
          </a:p>
        </c:rich>
      </c:tx>
      <c:layout>
        <c:manualLayout>
          <c:xMode val="edge"/>
          <c:yMode val="edge"/>
          <c:x val="0.10028787646680352"/>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3.5200000000000002E-2"/>
          <c:y val="0.24033974919801693"/>
          <c:w val="0.92959999999999998"/>
          <c:h val="0.57175901623410119"/>
        </c:manualLayout>
      </c:layout>
      <c:bar3DChart>
        <c:barDir val="col"/>
        <c:grouping val="clustered"/>
        <c:varyColors val="0"/>
        <c:ser>
          <c:idx val="0"/>
          <c:order val="0"/>
          <c:invertIfNegative val="0"/>
          <c:dLbls>
            <c:dLbl>
              <c:idx val="0"/>
              <c:layout>
                <c:manualLayout>
                  <c:x val="1.6666666666666701E-2"/>
                  <c:y val="-1.851851851851858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666666666666701E-2"/>
                  <c:y val="-1.388888888888910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3888888888889103E-2"/>
                  <c:y val="-2.3148148148148147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2222222222222251E-2"/>
                  <c:y val="-1.388888888888910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Лист1!$A$136:$A$139</c:f>
              <c:strCache>
                <c:ptCount val="4"/>
                <c:pt idx="0">
                  <c:v>2014 рік</c:v>
                </c:pt>
                <c:pt idx="1">
                  <c:v>2015 рік</c:v>
                </c:pt>
                <c:pt idx="2">
                  <c:v>2016 рік</c:v>
                </c:pt>
                <c:pt idx="3">
                  <c:v>8 міс. 2017 року</c:v>
                </c:pt>
              </c:strCache>
            </c:strRef>
          </c:cat>
          <c:val>
            <c:numRef>
              <c:f>Лист1!$B$136:$B$139</c:f>
              <c:numCache>
                <c:formatCode>General</c:formatCode>
                <c:ptCount val="4"/>
                <c:pt idx="0">
                  <c:v>171</c:v>
                </c:pt>
                <c:pt idx="1">
                  <c:v>178</c:v>
                </c:pt>
                <c:pt idx="2">
                  <c:v>182</c:v>
                </c:pt>
                <c:pt idx="3">
                  <c:v>237</c:v>
                </c:pt>
              </c:numCache>
            </c:numRef>
          </c:val>
        </c:ser>
        <c:dLbls>
          <c:showLegendKey val="0"/>
          <c:showVal val="0"/>
          <c:showCatName val="0"/>
          <c:showSerName val="0"/>
          <c:showPercent val="0"/>
          <c:showBubbleSize val="0"/>
        </c:dLbls>
        <c:gapWidth val="150"/>
        <c:shape val="cylinder"/>
        <c:axId val="423786584"/>
        <c:axId val="423787760"/>
        <c:axId val="0"/>
      </c:bar3DChart>
      <c:catAx>
        <c:axId val="423786584"/>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423787760"/>
        <c:crosses val="autoZero"/>
        <c:auto val="1"/>
        <c:lblAlgn val="ctr"/>
        <c:lblOffset val="100"/>
        <c:noMultiLvlLbl val="0"/>
      </c:catAx>
      <c:valAx>
        <c:axId val="423787760"/>
        <c:scaling>
          <c:orientation val="minMax"/>
        </c:scaling>
        <c:delete val="1"/>
        <c:axPos val="l"/>
        <c:numFmt formatCode="General" sourceLinked="1"/>
        <c:majorTickMark val="out"/>
        <c:minorTickMark val="none"/>
        <c:tickLblPos val="none"/>
        <c:crossAx val="423786584"/>
        <c:crosses val="autoZero"/>
        <c:crossBetween val="between"/>
      </c:valAx>
    </c:plotArea>
    <c:plotVisOnly val="1"/>
    <c:dispBlanksAs val="gap"/>
    <c:showDLblsOverMax val="0"/>
  </c:chart>
  <c:spPr>
    <a:ln>
      <a:noFill/>
    </a:ln>
  </c:spPr>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uk-UA" sz="1100">
                <a:latin typeface="Times New Roman" pitchFamily="18" charset="0"/>
                <a:cs typeface="Times New Roman" pitchFamily="18" charset="0"/>
              </a:rPr>
              <a:t>Питома</a:t>
            </a:r>
            <a:r>
              <a:rPr lang="uk-UA" sz="1100" baseline="0">
                <a:latin typeface="Times New Roman" pitchFamily="18" charset="0"/>
                <a:cs typeface="Times New Roman" pitchFamily="18" charset="0"/>
              </a:rPr>
              <a:t> вага багатоквартирних житлових будинків, оснащених побудинковими приладами обліку  теплової енергії, %</a:t>
            </a:r>
            <a:endParaRPr lang="uk-UA" sz="1100">
              <a:latin typeface="Times New Roman" pitchFamily="18" charset="0"/>
              <a:cs typeface="Times New Roman" pitchFamily="18" charset="0"/>
            </a:endParaRPr>
          </a:p>
        </c:rich>
      </c:tx>
      <c:layout>
        <c:manualLayout>
          <c:xMode val="edge"/>
          <c:yMode val="edge"/>
          <c:x val="0.10935028713058199"/>
          <c:y val="0"/>
        </c:manualLayout>
      </c:layout>
      <c:overlay val="0"/>
    </c:title>
    <c:autoTitleDeleted val="0"/>
    <c:view3D>
      <c:rotX val="30"/>
      <c:rotY val="20"/>
      <c:depthPercent val="100"/>
      <c:rAngAx val="1"/>
    </c:view3D>
    <c:floor>
      <c:thickness val="0"/>
    </c:floor>
    <c:sideWall>
      <c:thickness val="0"/>
    </c:sideWall>
    <c:backWall>
      <c:thickness val="0"/>
    </c:backWall>
    <c:plotArea>
      <c:layout>
        <c:manualLayout>
          <c:layoutTarget val="inner"/>
          <c:xMode val="edge"/>
          <c:yMode val="edge"/>
          <c:x val="3.333333333333334E-2"/>
          <c:y val="0.15153327353068224"/>
          <c:w val="0.93333333333333335"/>
          <c:h val="0.61251735938071028"/>
        </c:manualLayout>
      </c:layout>
      <c:bar3DChart>
        <c:barDir val="col"/>
        <c:grouping val="clustered"/>
        <c:varyColors val="0"/>
        <c:ser>
          <c:idx val="0"/>
          <c:order val="0"/>
          <c:spPr>
            <a:solidFill>
              <a:schemeClr val="tx2">
                <a:lumMod val="60000"/>
                <a:lumOff val="40000"/>
              </a:schemeClr>
            </a:solidFill>
          </c:spPr>
          <c:invertIfNegative val="0"/>
          <c:dLbls>
            <c:dLbl>
              <c:idx val="0"/>
              <c:layout>
                <c:manualLayout>
                  <c:x val="1.2384156525888809E-2"/>
                  <c:y val="-5.151621870051052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662133142448124E-2"/>
                  <c:y val="-4.990907782096867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2412550703889302E-2"/>
                  <c:y val="-4.2442606066646828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7.8460987831066795E-3"/>
                  <c:y val="-4.320054929842628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Лист1!$A$148:$A$151</c:f>
              <c:strCache>
                <c:ptCount val="4"/>
                <c:pt idx="0">
                  <c:v>2014 рік</c:v>
                </c:pt>
                <c:pt idx="1">
                  <c:v>2015 рік</c:v>
                </c:pt>
                <c:pt idx="2">
                  <c:v>2016 рік</c:v>
                </c:pt>
                <c:pt idx="3">
                  <c:v>8 міс. 2017 року</c:v>
                </c:pt>
              </c:strCache>
            </c:strRef>
          </c:cat>
          <c:val>
            <c:numRef>
              <c:f>Лист1!$B$148:$B$151</c:f>
              <c:numCache>
                <c:formatCode>General</c:formatCode>
                <c:ptCount val="4"/>
                <c:pt idx="0">
                  <c:v>17.7</c:v>
                </c:pt>
                <c:pt idx="1">
                  <c:v>18.5</c:v>
                </c:pt>
                <c:pt idx="2">
                  <c:v>18.899999999999999</c:v>
                </c:pt>
                <c:pt idx="3">
                  <c:v>24.7</c:v>
                </c:pt>
              </c:numCache>
            </c:numRef>
          </c:val>
        </c:ser>
        <c:dLbls>
          <c:showLegendKey val="0"/>
          <c:showVal val="0"/>
          <c:showCatName val="0"/>
          <c:showSerName val="0"/>
          <c:showPercent val="0"/>
          <c:showBubbleSize val="0"/>
        </c:dLbls>
        <c:gapWidth val="100"/>
        <c:shape val="cylinder"/>
        <c:axId val="423788152"/>
        <c:axId val="423786192"/>
        <c:axId val="0"/>
      </c:bar3DChart>
      <c:catAx>
        <c:axId val="423788152"/>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423786192"/>
        <c:crosses val="autoZero"/>
        <c:auto val="1"/>
        <c:lblAlgn val="ctr"/>
        <c:lblOffset val="100"/>
        <c:noMultiLvlLbl val="0"/>
      </c:catAx>
      <c:valAx>
        <c:axId val="423786192"/>
        <c:scaling>
          <c:orientation val="minMax"/>
        </c:scaling>
        <c:delete val="1"/>
        <c:axPos val="l"/>
        <c:numFmt formatCode="General" sourceLinked="1"/>
        <c:majorTickMark val="out"/>
        <c:minorTickMark val="none"/>
        <c:tickLblPos val="none"/>
        <c:crossAx val="423788152"/>
        <c:crosses val="autoZero"/>
        <c:crossBetween val="between"/>
      </c:valAx>
    </c:plotArea>
    <c:plotVisOnly val="1"/>
    <c:dispBlanksAs val="zero"/>
    <c:showDLblsOverMax val="0"/>
  </c:chart>
  <c:spPr>
    <a:ln>
      <a:noFill/>
    </a:ln>
  </c:sp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Обсяг</a:t>
            </a:r>
            <a:r>
              <a:rPr lang="uk-UA" sz="1200" baseline="0">
                <a:latin typeface="Times New Roman" pitchFamily="18" charset="0"/>
                <a:cs typeface="Times New Roman" pitchFamily="18" charset="0"/>
              </a:rPr>
              <a:t> спожитого газу, млн.м.куб.</a:t>
            </a:r>
            <a:endParaRPr lang="uk-UA" sz="1200">
              <a:latin typeface="Times New Roman" pitchFamily="18" charset="0"/>
              <a:cs typeface="Times New Roman" pitchFamily="18" charset="0"/>
            </a:endParaRP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cat>
            <c:strRef>
              <c:f>Лист1!$A$123:$A$125</c:f>
              <c:strCache>
                <c:ptCount val="3"/>
                <c:pt idx="0">
                  <c:v>січень-квітень 2015 року</c:v>
                </c:pt>
                <c:pt idx="1">
                  <c:v>січень-квітень 2016 року</c:v>
                </c:pt>
                <c:pt idx="2">
                  <c:v>січень-квітень 2017 року</c:v>
                </c:pt>
              </c:strCache>
            </c:strRef>
          </c:cat>
          <c:val>
            <c:numRef>
              <c:f>Лист1!$B$123:$B$125</c:f>
              <c:numCache>
                <c:formatCode>General</c:formatCode>
                <c:ptCount val="3"/>
              </c:numCache>
            </c:numRef>
          </c:val>
        </c:ser>
        <c:ser>
          <c:idx val="1"/>
          <c:order val="1"/>
          <c:spPr>
            <a:solidFill>
              <a:schemeClr val="tx2">
                <a:lumMod val="60000"/>
                <a:lumOff val="40000"/>
              </a:schemeClr>
            </a:solidFill>
          </c:spPr>
          <c:invertIfNegative val="0"/>
          <c:dLbls>
            <c:dLbl>
              <c:idx val="0"/>
              <c:layout>
                <c:manualLayout>
                  <c:x val="1.9444444444444445E-2"/>
                  <c:y val="-9.259259259259453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666666666666701E-2"/>
                  <c:y val="-1.388888888888910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3888888888889188E-2"/>
                  <c:y val="-1.851851851851858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Лист1!$A$123:$A$125</c:f>
              <c:strCache>
                <c:ptCount val="3"/>
                <c:pt idx="0">
                  <c:v>січень-квітень 2015 року</c:v>
                </c:pt>
                <c:pt idx="1">
                  <c:v>січень-квітень 2016 року</c:v>
                </c:pt>
                <c:pt idx="2">
                  <c:v>січень-квітень 2017 року</c:v>
                </c:pt>
              </c:strCache>
            </c:strRef>
          </c:cat>
          <c:val>
            <c:numRef>
              <c:f>Лист1!$C$123:$C$125</c:f>
              <c:numCache>
                <c:formatCode>General</c:formatCode>
                <c:ptCount val="3"/>
                <c:pt idx="0">
                  <c:v>58.1</c:v>
                </c:pt>
                <c:pt idx="1">
                  <c:v>45.5</c:v>
                </c:pt>
                <c:pt idx="2">
                  <c:v>39.1</c:v>
                </c:pt>
              </c:numCache>
            </c:numRef>
          </c:val>
        </c:ser>
        <c:dLbls>
          <c:showLegendKey val="0"/>
          <c:showVal val="0"/>
          <c:showCatName val="0"/>
          <c:showSerName val="0"/>
          <c:showPercent val="0"/>
          <c:showBubbleSize val="0"/>
        </c:dLbls>
        <c:gapWidth val="150"/>
        <c:shape val="cylinder"/>
        <c:axId val="355220296"/>
        <c:axId val="355221080"/>
        <c:axId val="0"/>
      </c:bar3DChart>
      <c:catAx>
        <c:axId val="355220296"/>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355221080"/>
        <c:crosses val="autoZero"/>
        <c:auto val="1"/>
        <c:lblAlgn val="ctr"/>
        <c:lblOffset val="100"/>
        <c:noMultiLvlLbl val="0"/>
      </c:catAx>
      <c:valAx>
        <c:axId val="355221080"/>
        <c:scaling>
          <c:orientation val="minMax"/>
        </c:scaling>
        <c:delete val="1"/>
        <c:axPos val="l"/>
        <c:numFmt formatCode="General" sourceLinked="1"/>
        <c:majorTickMark val="out"/>
        <c:minorTickMark val="none"/>
        <c:tickLblPos val="none"/>
        <c:crossAx val="355220296"/>
        <c:crosses val="autoZero"/>
        <c:crossBetween val="between"/>
      </c:valAx>
    </c:plotArea>
    <c:plotVisOnly val="1"/>
    <c:dispBlanksAs val="gap"/>
    <c:showDLblsOverMax val="0"/>
  </c:chart>
  <c:spPr>
    <a:ln>
      <a:noFill/>
    </a:ln>
  </c:spPr>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Загальна</a:t>
            </a:r>
            <a:r>
              <a:rPr lang="ru-RU" sz="1200" baseline="0">
                <a:latin typeface="Times New Roman" pitchFamily="18" charset="0"/>
                <a:cs typeface="Times New Roman" pitchFamily="18" charset="0"/>
              </a:rPr>
              <a:t> протяжність вулично-дорожньої мережі, км</a:t>
            </a:r>
            <a:endParaRPr lang="ru-RU" sz="1200">
              <a:latin typeface="Times New Roman" pitchFamily="18" charset="0"/>
              <a:cs typeface="Times New Roman" pitchFamily="18" charset="0"/>
            </a:endParaRPr>
          </a:p>
        </c:rich>
      </c:tx>
      <c:overlay val="0"/>
    </c:title>
    <c:autoTitleDeleted val="0"/>
    <c:plotArea>
      <c:layout/>
      <c:doughnutChart>
        <c:varyColors val="1"/>
        <c:ser>
          <c:idx val="0"/>
          <c:order val="0"/>
          <c:dPt>
            <c:idx val="1"/>
            <c:bubble3D val="0"/>
            <c:spPr>
              <a:solidFill>
                <a:schemeClr val="accent1"/>
              </a:solidFill>
            </c:spPr>
          </c:dPt>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Лист1!$A$38:$C$38</c:f>
              <c:strCache>
                <c:ptCount val="3"/>
                <c:pt idx="1">
                  <c:v>Протяжність мережі з асфальтно-бетонним покриттям</c:v>
                </c:pt>
                <c:pt idx="2">
                  <c:v>Протяжність мережі з щебневим покриттям</c:v>
                </c:pt>
              </c:strCache>
            </c:strRef>
          </c:cat>
          <c:val>
            <c:numRef>
              <c:f>Лист1!$A$39:$C$39</c:f>
              <c:numCache>
                <c:formatCode>General</c:formatCode>
                <c:ptCount val="3"/>
                <c:pt idx="1">
                  <c:v>219.5</c:v>
                </c:pt>
                <c:pt idx="2">
                  <c:v>165.2</c:v>
                </c:pt>
              </c:numCache>
            </c:numRef>
          </c:val>
        </c:ser>
        <c:dLbls>
          <c:showLegendKey val="0"/>
          <c:showVal val="0"/>
          <c:showCatName val="0"/>
          <c:showSerName val="0"/>
          <c:showPercent val="0"/>
          <c:showBubbleSize val="0"/>
          <c:showLeaderLines val="1"/>
        </c:dLbls>
        <c:firstSliceAng val="0"/>
        <c:holeSize val="50"/>
      </c:doughnutChart>
    </c:plotArea>
    <c:legend>
      <c:legendPos val="r"/>
      <c:legendEntry>
        <c:idx val="0"/>
        <c:delete val="1"/>
      </c:legendEntry>
      <c:layout>
        <c:manualLayout>
          <c:xMode val="edge"/>
          <c:yMode val="edge"/>
          <c:x val="0.58217366579177598"/>
          <c:y val="0.34910870516185483"/>
          <c:w val="0.4011596675415573"/>
          <c:h val="0.5128937007874016"/>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uk-UA" sz="1200">
                <a:latin typeface="Times New Roman" pitchFamily="18" charset="0"/>
                <a:cs typeface="Times New Roman" pitchFamily="18" charset="0"/>
              </a:rPr>
              <a:t>Площа</a:t>
            </a:r>
            <a:r>
              <a:rPr lang="uk-UA" sz="1200" baseline="0">
                <a:latin typeface="Times New Roman" pitchFamily="18" charset="0"/>
                <a:cs typeface="Times New Roman" pitchFamily="18" charset="0"/>
              </a:rPr>
              <a:t> відремонтованих доріг, кв.м.</a:t>
            </a:r>
            <a:endParaRPr lang="uk-UA" sz="1200">
              <a:latin typeface="Times New Roman" pitchFamily="18" charset="0"/>
              <a:cs typeface="Times New Roman" pitchFamily="18" charset="0"/>
            </a:endParaRPr>
          </a:p>
        </c:rich>
      </c:tx>
      <c:layout>
        <c:manualLayout>
          <c:xMode val="edge"/>
          <c:yMode val="edge"/>
          <c:x val="0.18441358024691579"/>
          <c:y val="0"/>
        </c:manualLayout>
      </c:layout>
      <c:overlay val="1"/>
    </c:title>
    <c:autoTitleDeleted val="0"/>
    <c:view3D>
      <c:rotX val="15"/>
      <c:rotY val="20"/>
      <c:rAngAx val="1"/>
    </c:view3D>
    <c:floor>
      <c:thickness val="0"/>
    </c:floor>
    <c:sideWall>
      <c:thickness val="0"/>
    </c:sideWall>
    <c:backWall>
      <c:thickness val="0"/>
    </c:backWall>
    <c:plotArea>
      <c:layout>
        <c:manualLayout>
          <c:layoutTarget val="inner"/>
          <c:xMode val="edge"/>
          <c:yMode val="edge"/>
          <c:x val="8.778346744696415E-3"/>
          <c:y val="9.2729188619599598E-2"/>
          <c:w val="0.71146311539148321"/>
          <c:h val="0.74735511064279014"/>
        </c:manualLayout>
      </c:layout>
      <c:bar3DChart>
        <c:barDir val="col"/>
        <c:grouping val="clustered"/>
        <c:varyColors val="0"/>
        <c:ser>
          <c:idx val="0"/>
          <c:order val="0"/>
          <c:tx>
            <c:strRef>
              <c:f>Лист1!$B$49</c:f>
              <c:strCache>
                <c:ptCount val="1"/>
                <c:pt idx="0">
                  <c:v>Капітальний ремонт</c:v>
                </c:pt>
              </c:strCache>
            </c:strRef>
          </c:tx>
          <c:invertIfNegative val="0"/>
          <c:dLbls>
            <c:dLbl>
              <c:idx val="1"/>
              <c:layout>
                <c:manualLayout>
                  <c:x val="-2.2222222222222251E-2"/>
                  <c:y val="0"/>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340892465252381E-2"/>
                  <c:y val="9.9378881987577643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Лист1!$A$50:$A$53</c:f>
              <c:strCache>
                <c:ptCount val="4"/>
                <c:pt idx="0">
                  <c:v>2014 рік</c:v>
                </c:pt>
                <c:pt idx="1">
                  <c:v>2015 рік</c:v>
                </c:pt>
                <c:pt idx="2">
                  <c:v>2016 рік</c:v>
                </c:pt>
                <c:pt idx="3">
                  <c:v>8 міс. 2017 року</c:v>
                </c:pt>
              </c:strCache>
            </c:strRef>
          </c:cat>
          <c:val>
            <c:numRef>
              <c:f>Лист1!$B$50:$B$53</c:f>
              <c:numCache>
                <c:formatCode>General</c:formatCode>
                <c:ptCount val="4"/>
                <c:pt idx="0">
                  <c:v>107913</c:v>
                </c:pt>
                <c:pt idx="1">
                  <c:v>63300</c:v>
                </c:pt>
                <c:pt idx="2">
                  <c:v>91400</c:v>
                </c:pt>
                <c:pt idx="3">
                  <c:v>27352</c:v>
                </c:pt>
              </c:numCache>
            </c:numRef>
          </c:val>
        </c:ser>
        <c:ser>
          <c:idx val="1"/>
          <c:order val="1"/>
          <c:tx>
            <c:strRef>
              <c:f>Лист1!$C$49</c:f>
              <c:strCache>
                <c:ptCount val="1"/>
                <c:pt idx="0">
                  <c:v>Поточний ремонт</c:v>
                </c:pt>
              </c:strCache>
            </c:strRef>
          </c:tx>
          <c:spPr>
            <a:solidFill>
              <a:schemeClr val="accent3">
                <a:lumMod val="75000"/>
              </a:schemeClr>
            </a:solidFill>
          </c:spPr>
          <c:invertIfNegative val="0"/>
          <c:dLbls>
            <c:dLbl>
              <c:idx val="0"/>
              <c:layout>
                <c:manualLayout>
                  <c:x val="3.0555555555555582E-2"/>
                  <c:y val="-1.388888888888910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6704548727312616E-2"/>
                  <c:y val="-4.629725632122072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Лист1!$A$50:$A$53</c:f>
              <c:strCache>
                <c:ptCount val="4"/>
                <c:pt idx="0">
                  <c:v>2014 рік</c:v>
                </c:pt>
                <c:pt idx="1">
                  <c:v>2015 рік</c:v>
                </c:pt>
                <c:pt idx="2">
                  <c:v>2016 рік</c:v>
                </c:pt>
                <c:pt idx="3">
                  <c:v>8 міс. 2017 року</c:v>
                </c:pt>
              </c:strCache>
            </c:strRef>
          </c:cat>
          <c:val>
            <c:numRef>
              <c:f>Лист1!$C$50:$C$53</c:f>
              <c:numCache>
                <c:formatCode>General</c:formatCode>
                <c:ptCount val="4"/>
                <c:pt idx="0">
                  <c:v>13160</c:v>
                </c:pt>
                <c:pt idx="1">
                  <c:v>87916</c:v>
                </c:pt>
                <c:pt idx="2">
                  <c:v>57000</c:v>
                </c:pt>
                <c:pt idx="3">
                  <c:v>50787</c:v>
                </c:pt>
              </c:numCache>
            </c:numRef>
          </c:val>
        </c:ser>
        <c:dLbls>
          <c:showLegendKey val="0"/>
          <c:showVal val="0"/>
          <c:showCatName val="0"/>
          <c:showSerName val="0"/>
          <c:showPercent val="0"/>
          <c:showBubbleSize val="0"/>
        </c:dLbls>
        <c:gapWidth val="150"/>
        <c:shape val="cylinder"/>
        <c:axId val="355222256"/>
        <c:axId val="355217552"/>
        <c:axId val="0"/>
      </c:bar3DChart>
      <c:catAx>
        <c:axId val="355222256"/>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355217552"/>
        <c:crosses val="autoZero"/>
        <c:auto val="1"/>
        <c:lblAlgn val="ctr"/>
        <c:lblOffset val="100"/>
        <c:noMultiLvlLbl val="0"/>
      </c:catAx>
      <c:valAx>
        <c:axId val="355217552"/>
        <c:scaling>
          <c:orientation val="minMax"/>
        </c:scaling>
        <c:delete val="1"/>
        <c:axPos val="l"/>
        <c:majorGridlines>
          <c:spPr>
            <a:ln>
              <a:noFill/>
            </a:ln>
          </c:spPr>
        </c:majorGridlines>
        <c:numFmt formatCode="General" sourceLinked="1"/>
        <c:majorTickMark val="out"/>
        <c:minorTickMark val="none"/>
        <c:tickLblPos val="none"/>
        <c:crossAx val="355222256"/>
        <c:crosses val="autoZero"/>
        <c:crossBetween val="between"/>
      </c:valAx>
    </c:plotArea>
    <c:legend>
      <c:legendPos val="r"/>
      <c:layout>
        <c:manualLayout>
          <c:xMode val="edge"/>
          <c:yMode val="edge"/>
          <c:x val="0.66464526608645014"/>
          <c:y val="0.16716875617102309"/>
          <c:w val="0.30024134693477872"/>
          <c:h val="0.23962493818707623"/>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pPr>
            <a:r>
              <a:rPr lang="uk-UA" sz="1100">
                <a:latin typeface="Times New Roman" pitchFamily="18" charset="0"/>
                <a:cs typeface="Times New Roman" pitchFamily="18" charset="0"/>
              </a:rPr>
              <a:t>Протяжність</a:t>
            </a:r>
            <a:r>
              <a:rPr lang="uk-UA" sz="1100" baseline="0">
                <a:latin typeface="Times New Roman" pitchFamily="18" charset="0"/>
                <a:cs typeface="Times New Roman" pitchFamily="18" charset="0"/>
              </a:rPr>
              <a:t> мереж зовнішнього освітлення, км</a:t>
            </a:r>
            <a:endParaRPr lang="uk-UA" sz="1100">
              <a:latin typeface="Times New Roman" pitchFamily="18" charset="0"/>
              <a:cs typeface="Times New Roman" pitchFamily="18" charset="0"/>
            </a:endParaRPr>
          </a:p>
        </c:rich>
      </c:tx>
      <c:layout>
        <c:manualLayout>
          <c:xMode val="edge"/>
          <c:yMode val="edge"/>
          <c:x val="0.16848484848484849"/>
          <c:y val="0"/>
        </c:manualLayout>
      </c:layout>
      <c:overlay val="1"/>
    </c:title>
    <c:autoTitleDeleted val="0"/>
    <c:plotArea>
      <c:layout>
        <c:manualLayout>
          <c:layoutTarget val="inner"/>
          <c:xMode val="edge"/>
          <c:yMode val="edge"/>
          <c:x val="0"/>
          <c:y val="0.15591397849462627"/>
          <c:w val="0.96942001608469919"/>
          <c:h val="0.62026227420101898"/>
        </c:manualLayout>
      </c:layout>
      <c:lineChart>
        <c:grouping val="standard"/>
        <c:varyColors val="0"/>
        <c:ser>
          <c:idx val="0"/>
          <c:order val="0"/>
          <c:spPr>
            <a:ln w="38100"/>
          </c:spPr>
          <c:dLbls>
            <c:dLbl>
              <c:idx val="0"/>
              <c:layout>
                <c:manualLayout>
                  <c:x val="0"/>
                  <c:y val="4.629629629629652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111111111111125E-2"/>
                  <c:y val="3.7037037037037056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276247207743857E-2"/>
                  <c:y val="0.1095890410958904"/>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5.0632911392405194E-2"/>
                  <c:y val="9.863013698630136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Лист1!$A$14:$A$17</c:f>
              <c:strCache>
                <c:ptCount val="4"/>
                <c:pt idx="0">
                  <c:v>2014 рік</c:v>
                </c:pt>
                <c:pt idx="1">
                  <c:v>2015 рік</c:v>
                </c:pt>
                <c:pt idx="2">
                  <c:v>2016 рік</c:v>
                </c:pt>
                <c:pt idx="3">
                  <c:v>8 міс. 2017 року</c:v>
                </c:pt>
              </c:strCache>
            </c:strRef>
          </c:cat>
          <c:val>
            <c:numRef>
              <c:f>Лист1!$B$14:$B$17</c:f>
              <c:numCache>
                <c:formatCode>General</c:formatCode>
                <c:ptCount val="4"/>
                <c:pt idx="0">
                  <c:v>481.5</c:v>
                </c:pt>
                <c:pt idx="1">
                  <c:v>496.4</c:v>
                </c:pt>
                <c:pt idx="2">
                  <c:v>538.29999999999995</c:v>
                </c:pt>
                <c:pt idx="3">
                  <c:v>538.29999999999995</c:v>
                </c:pt>
              </c:numCache>
            </c:numRef>
          </c:val>
          <c:smooth val="0"/>
        </c:ser>
        <c:dLbls>
          <c:showLegendKey val="0"/>
          <c:showVal val="0"/>
          <c:showCatName val="0"/>
          <c:showSerName val="0"/>
          <c:showPercent val="0"/>
          <c:showBubbleSize val="0"/>
        </c:dLbls>
        <c:marker val="1"/>
        <c:smooth val="0"/>
        <c:axId val="355216768"/>
        <c:axId val="355224216"/>
      </c:lineChart>
      <c:catAx>
        <c:axId val="355216768"/>
        <c:scaling>
          <c:orientation val="minMax"/>
        </c:scaling>
        <c:delete val="0"/>
        <c:axPos val="b"/>
        <c:numFmt formatCode="General" sourceLinked="0"/>
        <c:majorTickMark val="none"/>
        <c:minorTickMark val="none"/>
        <c:tickLblPos val="nextTo"/>
        <c:txPr>
          <a:bodyPr/>
          <a:lstStyle/>
          <a:p>
            <a:pPr>
              <a:defRPr b="1">
                <a:latin typeface="Times New Roman" pitchFamily="18" charset="0"/>
                <a:cs typeface="Times New Roman" pitchFamily="18" charset="0"/>
              </a:defRPr>
            </a:pPr>
            <a:endParaRPr lang="ru-RU"/>
          </a:p>
        </c:txPr>
        <c:crossAx val="355224216"/>
        <c:crosses val="autoZero"/>
        <c:auto val="1"/>
        <c:lblAlgn val="ctr"/>
        <c:lblOffset val="100"/>
        <c:noMultiLvlLbl val="0"/>
      </c:catAx>
      <c:valAx>
        <c:axId val="355224216"/>
        <c:scaling>
          <c:orientation val="minMax"/>
        </c:scaling>
        <c:delete val="1"/>
        <c:axPos val="l"/>
        <c:majorGridlines>
          <c:spPr>
            <a:ln>
              <a:noFill/>
            </a:ln>
          </c:spPr>
        </c:majorGridlines>
        <c:numFmt formatCode="General" sourceLinked="1"/>
        <c:majorTickMark val="none"/>
        <c:minorTickMark val="none"/>
        <c:tickLblPos val="none"/>
        <c:crossAx val="355216768"/>
        <c:crosses val="autoZero"/>
        <c:crossBetween val="between"/>
      </c:valAx>
    </c:plotArea>
    <c:plotVisOnly val="1"/>
    <c:dispBlanksAs val="gap"/>
    <c:showDLblsOverMax val="0"/>
  </c:chart>
  <c:spPr>
    <a:ln>
      <a:noFill/>
    </a:ln>
  </c:spPr>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50">
                <a:latin typeface="Times New Roman" pitchFamily="18" charset="0"/>
                <a:cs typeface="Times New Roman" pitchFamily="18" charset="0"/>
              </a:defRPr>
            </a:pPr>
            <a:r>
              <a:rPr lang="uk-UA" sz="1050">
                <a:latin typeface="Times New Roman" pitchFamily="18" charset="0"/>
                <a:cs typeface="Times New Roman" pitchFamily="18" charset="0"/>
              </a:rPr>
              <a:t>Кількість</a:t>
            </a:r>
            <a:r>
              <a:rPr lang="uk-UA" sz="1050" baseline="0">
                <a:latin typeface="Times New Roman" pitchFamily="18" charset="0"/>
                <a:cs typeface="Times New Roman" pitchFamily="18" charset="0"/>
              </a:rPr>
              <a:t> світлоточок в мережі зовнішнього освітлення, в т.ч. енергозберігаючих, од.</a:t>
            </a:r>
            <a:endParaRPr lang="uk-UA" sz="1050">
              <a:latin typeface="Times New Roman" pitchFamily="18" charset="0"/>
              <a:cs typeface="Times New Roman" pitchFamily="18" charset="0"/>
            </a:endParaRPr>
          </a:p>
        </c:rich>
      </c:tx>
      <c:layout>
        <c:manualLayout>
          <c:xMode val="edge"/>
          <c:yMode val="edge"/>
          <c:x val="0.16077443260768876"/>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1.2962791415779041E-3"/>
          <c:y val="0.2930160652995365"/>
          <c:w val="0.79136606453604275"/>
          <c:h val="0.5193360445328945"/>
        </c:manualLayout>
      </c:layout>
      <c:bar3DChart>
        <c:barDir val="col"/>
        <c:grouping val="clustered"/>
        <c:varyColors val="0"/>
        <c:ser>
          <c:idx val="0"/>
          <c:order val="0"/>
          <c:tx>
            <c:strRef>
              <c:f>Лист1!$B$28:$B$29</c:f>
              <c:strCache>
                <c:ptCount val="1"/>
                <c:pt idx="0">
                  <c:v>Кількість світлоточок</c:v>
                </c:pt>
              </c:strCache>
            </c:strRef>
          </c:tx>
          <c:invertIfNegative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Лист1!$A$30:$A$33</c:f>
              <c:strCache>
                <c:ptCount val="4"/>
                <c:pt idx="0">
                  <c:v>2014 рік</c:v>
                </c:pt>
                <c:pt idx="1">
                  <c:v>2015 рік</c:v>
                </c:pt>
                <c:pt idx="2">
                  <c:v>2016 рік</c:v>
                </c:pt>
                <c:pt idx="3">
                  <c:v>8 міс. 2017 року</c:v>
                </c:pt>
              </c:strCache>
            </c:strRef>
          </c:cat>
          <c:val>
            <c:numRef>
              <c:f>Лист1!$B$30:$B$33</c:f>
              <c:numCache>
                <c:formatCode>General</c:formatCode>
                <c:ptCount val="4"/>
                <c:pt idx="0">
                  <c:v>12250</c:v>
                </c:pt>
                <c:pt idx="1">
                  <c:v>13301</c:v>
                </c:pt>
                <c:pt idx="2">
                  <c:v>14700</c:v>
                </c:pt>
                <c:pt idx="3">
                  <c:v>14700</c:v>
                </c:pt>
              </c:numCache>
            </c:numRef>
          </c:val>
        </c:ser>
        <c:ser>
          <c:idx val="1"/>
          <c:order val="1"/>
          <c:tx>
            <c:strRef>
              <c:f>Лист1!$C$28:$C$29</c:f>
              <c:strCache>
                <c:ptCount val="1"/>
                <c:pt idx="0">
                  <c:v>Кількість енергозберігаючих світлоточок</c:v>
                </c:pt>
              </c:strCache>
            </c:strRef>
          </c:tx>
          <c:spPr>
            <a:solidFill>
              <a:schemeClr val="accent3">
                <a:lumMod val="75000"/>
              </a:schemeClr>
            </a:solidFill>
          </c:spPr>
          <c:invertIfNegative val="0"/>
          <c:dLbls>
            <c:dLbl>
              <c:idx val="0"/>
              <c:layout>
                <c:manualLayout>
                  <c:x val="2.7777777777778474E-2"/>
                  <c:y val="-2.314814814814814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7777777777778474E-2"/>
                  <c:y val="-1.388888888888910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5000000000000001E-2"/>
                  <c:y val="-9.2592592592594652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655750190403656E-2"/>
                  <c:y val="-1.108033240997230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Лист1!$A$30:$A$33</c:f>
              <c:strCache>
                <c:ptCount val="4"/>
                <c:pt idx="0">
                  <c:v>2014 рік</c:v>
                </c:pt>
                <c:pt idx="1">
                  <c:v>2015 рік</c:v>
                </c:pt>
                <c:pt idx="2">
                  <c:v>2016 рік</c:v>
                </c:pt>
                <c:pt idx="3">
                  <c:v>8 міс. 2017 року</c:v>
                </c:pt>
              </c:strCache>
            </c:strRef>
          </c:cat>
          <c:val>
            <c:numRef>
              <c:f>Лист1!$C$30:$C$33</c:f>
              <c:numCache>
                <c:formatCode>General</c:formatCode>
                <c:ptCount val="4"/>
                <c:pt idx="0">
                  <c:v>2260</c:v>
                </c:pt>
                <c:pt idx="1">
                  <c:v>2505</c:v>
                </c:pt>
                <c:pt idx="2">
                  <c:v>5742</c:v>
                </c:pt>
                <c:pt idx="3">
                  <c:v>5742</c:v>
                </c:pt>
              </c:numCache>
            </c:numRef>
          </c:val>
        </c:ser>
        <c:dLbls>
          <c:showLegendKey val="0"/>
          <c:showVal val="0"/>
          <c:showCatName val="0"/>
          <c:showSerName val="0"/>
          <c:showPercent val="0"/>
          <c:showBubbleSize val="0"/>
        </c:dLbls>
        <c:gapWidth val="150"/>
        <c:shape val="box"/>
        <c:axId val="354937352"/>
        <c:axId val="354941272"/>
        <c:axId val="0"/>
      </c:bar3DChart>
      <c:catAx>
        <c:axId val="354937352"/>
        <c:scaling>
          <c:orientation val="minMax"/>
        </c:scaling>
        <c:delete val="0"/>
        <c:axPos val="b"/>
        <c:numFmt formatCode="General" sourceLinked="0"/>
        <c:majorTickMark val="out"/>
        <c:minorTickMark val="none"/>
        <c:tickLblPos val="nextTo"/>
        <c:txPr>
          <a:bodyPr/>
          <a:lstStyle/>
          <a:p>
            <a:pPr>
              <a:defRPr sz="800" b="1">
                <a:latin typeface="Times New Roman" pitchFamily="18" charset="0"/>
                <a:cs typeface="Times New Roman" pitchFamily="18" charset="0"/>
              </a:defRPr>
            </a:pPr>
            <a:endParaRPr lang="ru-RU"/>
          </a:p>
        </c:txPr>
        <c:crossAx val="354941272"/>
        <c:crosses val="autoZero"/>
        <c:auto val="1"/>
        <c:lblAlgn val="ctr"/>
        <c:lblOffset val="100"/>
        <c:noMultiLvlLbl val="0"/>
      </c:catAx>
      <c:valAx>
        <c:axId val="354941272"/>
        <c:scaling>
          <c:orientation val="minMax"/>
        </c:scaling>
        <c:delete val="1"/>
        <c:axPos val="l"/>
        <c:majorGridlines>
          <c:spPr>
            <a:ln>
              <a:noFill/>
            </a:ln>
          </c:spPr>
        </c:majorGridlines>
        <c:numFmt formatCode="General" sourceLinked="1"/>
        <c:majorTickMark val="out"/>
        <c:minorTickMark val="none"/>
        <c:tickLblPos val="none"/>
        <c:crossAx val="354937352"/>
        <c:crosses val="autoZero"/>
        <c:crossBetween val="between"/>
      </c:valAx>
    </c:plotArea>
    <c:legend>
      <c:legendPos val="r"/>
      <c:layout>
        <c:manualLayout>
          <c:xMode val="edge"/>
          <c:yMode val="edge"/>
          <c:x val="0.72077782924193301"/>
          <c:y val="0.27189241794213931"/>
          <c:w val="0.27922217075806732"/>
          <c:h val="0.64790527588545865"/>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Кількість</a:t>
            </a:r>
            <a:r>
              <a:rPr lang="uk-UA" sz="1200" baseline="0">
                <a:latin typeface="Times New Roman" pitchFamily="18" charset="0"/>
                <a:cs typeface="Times New Roman" pitchFamily="18" charset="0"/>
              </a:rPr>
              <a:t> знесених та висаджених дерев, од</a:t>
            </a:r>
            <a:endParaRPr lang="uk-UA" sz="1200">
              <a:latin typeface="Times New Roman" pitchFamily="18" charset="0"/>
              <a:cs typeface="Times New Roman" pitchFamily="18" charset="0"/>
            </a:endParaRPr>
          </a:p>
        </c:rich>
      </c:tx>
      <c:layout>
        <c:manualLayout>
          <c:xMode val="edge"/>
          <c:yMode val="edge"/>
          <c:x val="0.14087451298803302"/>
          <c:y val="1.4389552112437583E-2"/>
        </c:manualLayout>
      </c:layout>
      <c:overlay val="1"/>
    </c:title>
    <c:autoTitleDeleted val="0"/>
    <c:view3D>
      <c:rotX val="15"/>
      <c:rotY val="20"/>
      <c:rAngAx val="1"/>
    </c:view3D>
    <c:floor>
      <c:thickness val="0"/>
    </c:floor>
    <c:sideWall>
      <c:thickness val="0"/>
    </c:sideWall>
    <c:backWall>
      <c:thickness val="0"/>
    </c:backWall>
    <c:plotArea>
      <c:layout>
        <c:manualLayout>
          <c:layoutTarget val="inner"/>
          <c:xMode val="edge"/>
          <c:yMode val="edge"/>
          <c:x val="4.6843784814667964E-3"/>
          <c:y val="5.9139784946237818E-2"/>
          <c:w val="0.75939248601119891"/>
          <c:h val="0.67493734654135973"/>
        </c:manualLayout>
      </c:layout>
      <c:bar3DChart>
        <c:barDir val="col"/>
        <c:grouping val="clustered"/>
        <c:varyColors val="0"/>
        <c:ser>
          <c:idx val="0"/>
          <c:order val="0"/>
          <c:tx>
            <c:strRef>
              <c:f>Лист1!$B$4:$B$5</c:f>
              <c:strCache>
                <c:ptCount val="1"/>
                <c:pt idx="0">
                  <c:v>Кількість знесених дерев</c:v>
                </c:pt>
              </c:strCache>
            </c:strRef>
          </c:tx>
          <c:invertIfNegative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Лист1!$A$6:$A$9</c:f>
              <c:strCache>
                <c:ptCount val="4"/>
                <c:pt idx="0">
                  <c:v>2014 рік</c:v>
                </c:pt>
                <c:pt idx="1">
                  <c:v>2015 рік</c:v>
                </c:pt>
                <c:pt idx="2">
                  <c:v>2016 рік</c:v>
                </c:pt>
                <c:pt idx="3">
                  <c:v>8 міс. 2017 року</c:v>
                </c:pt>
              </c:strCache>
            </c:strRef>
          </c:cat>
          <c:val>
            <c:numRef>
              <c:f>Лист1!$B$6:$B$9</c:f>
              <c:numCache>
                <c:formatCode>General</c:formatCode>
                <c:ptCount val="4"/>
                <c:pt idx="0">
                  <c:v>915</c:v>
                </c:pt>
                <c:pt idx="1">
                  <c:v>1275</c:v>
                </c:pt>
                <c:pt idx="2">
                  <c:v>1199</c:v>
                </c:pt>
                <c:pt idx="3">
                  <c:v>454</c:v>
                </c:pt>
              </c:numCache>
            </c:numRef>
          </c:val>
        </c:ser>
        <c:ser>
          <c:idx val="1"/>
          <c:order val="1"/>
          <c:tx>
            <c:strRef>
              <c:f>Лист1!$C$4:$C$5</c:f>
              <c:strCache>
                <c:ptCount val="1"/>
                <c:pt idx="0">
                  <c:v>Кількість висаджених дерев</c:v>
                </c:pt>
              </c:strCache>
            </c:strRef>
          </c:tx>
          <c:spPr>
            <a:solidFill>
              <a:schemeClr val="accent3">
                <a:lumMod val="75000"/>
              </a:schemeClr>
            </a:solidFill>
          </c:spPr>
          <c:invertIfNegative val="0"/>
          <c:dLbls>
            <c:dLbl>
              <c:idx val="1"/>
              <c:layout>
                <c:manualLayout>
                  <c:x val="1.9444444444444445E-2"/>
                  <c:y val="4.2437781360069076E-17"/>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7777777777778536E-2"/>
                  <c:y val="0"/>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1586503948312993E-2"/>
                  <c:y val="-1.201201201201201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Лист1!$A$6:$A$9</c:f>
              <c:strCache>
                <c:ptCount val="4"/>
                <c:pt idx="0">
                  <c:v>2014 рік</c:v>
                </c:pt>
                <c:pt idx="1">
                  <c:v>2015 рік</c:v>
                </c:pt>
                <c:pt idx="2">
                  <c:v>2016 рік</c:v>
                </c:pt>
                <c:pt idx="3">
                  <c:v>8 міс. 2017 року</c:v>
                </c:pt>
              </c:strCache>
            </c:strRef>
          </c:cat>
          <c:val>
            <c:numRef>
              <c:f>Лист1!$C$6:$C$9</c:f>
              <c:numCache>
                <c:formatCode>General</c:formatCode>
                <c:ptCount val="4"/>
                <c:pt idx="0">
                  <c:v>1564</c:v>
                </c:pt>
                <c:pt idx="1">
                  <c:v>962</c:v>
                </c:pt>
                <c:pt idx="2">
                  <c:v>1134</c:v>
                </c:pt>
                <c:pt idx="3">
                  <c:v>227</c:v>
                </c:pt>
              </c:numCache>
            </c:numRef>
          </c:val>
        </c:ser>
        <c:dLbls>
          <c:showLegendKey val="0"/>
          <c:showVal val="0"/>
          <c:showCatName val="0"/>
          <c:showSerName val="0"/>
          <c:showPercent val="0"/>
          <c:showBubbleSize val="0"/>
        </c:dLbls>
        <c:gapWidth val="150"/>
        <c:shape val="cylinder"/>
        <c:axId val="360261936"/>
        <c:axId val="423776000"/>
        <c:axId val="0"/>
      </c:bar3DChart>
      <c:catAx>
        <c:axId val="360261936"/>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423776000"/>
        <c:crosses val="autoZero"/>
        <c:auto val="1"/>
        <c:lblAlgn val="ctr"/>
        <c:lblOffset val="100"/>
        <c:noMultiLvlLbl val="0"/>
      </c:catAx>
      <c:valAx>
        <c:axId val="423776000"/>
        <c:scaling>
          <c:orientation val="minMax"/>
        </c:scaling>
        <c:delete val="1"/>
        <c:axPos val="l"/>
        <c:majorGridlines>
          <c:spPr>
            <a:ln>
              <a:noFill/>
            </a:ln>
          </c:spPr>
        </c:majorGridlines>
        <c:numFmt formatCode="General" sourceLinked="1"/>
        <c:majorTickMark val="out"/>
        <c:minorTickMark val="none"/>
        <c:tickLblPos val="none"/>
        <c:crossAx val="360261936"/>
        <c:crosses val="autoZero"/>
        <c:crossBetween val="between"/>
      </c:valAx>
    </c:plotArea>
    <c:legend>
      <c:legendPos val="r"/>
      <c:layout>
        <c:manualLayout>
          <c:xMode val="edge"/>
          <c:yMode val="edge"/>
          <c:x val="0.63788968824941006"/>
          <c:y val="0.1765278130556262"/>
          <c:w val="0.34292565947242232"/>
          <c:h val="0.28135297603929127"/>
        </c:manualLayout>
      </c:layout>
      <c:overlay val="0"/>
      <c:txPr>
        <a:bodyPr/>
        <a:lstStyle/>
        <a:p>
          <a:pPr>
            <a:defRPr sz="1000">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uk-UA" sz="1200">
                <a:latin typeface="Times New Roman" pitchFamily="18" charset="0"/>
                <a:cs typeface="Times New Roman" pitchFamily="18" charset="0"/>
              </a:rPr>
              <a:t>Загальна</a:t>
            </a:r>
            <a:r>
              <a:rPr lang="uk-UA" sz="1200" baseline="0">
                <a:latin typeface="Times New Roman" pitchFamily="18" charset="0"/>
                <a:cs typeface="Times New Roman" pitchFamily="18" charset="0"/>
              </a:rPr>
              <a:t> кількість ТПВ, захоронених на міському полігоні, млн.м.куб.</a:t>
            </a:r>
            <a:endParaRPr lang="uk-UA" sz="1200">
              <a:latin typeface="Times New Roman" pitchFamily="18" charset="0"/>
              <a:cs typeface="Times New Roman" pitchFamily="18" charset="0"/>
            </a:endParaRP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3.3768227168073685E-2"/>
          <c:y val="0.24884038199181707"/>
          <c:w val="0.93246354566385259"/>
          <c:h val="0.60353804341988782"/>
        </c:manualLayout>
      </c:layout>
      <c:bar3DChart>
        <c:barDir val="col"/>
        <c:grouping val="clustered"/>
        <c:varyColors val="0"/>
        <c:ser>
          <c:idx val="0"/>
          <c:order val="0"/>
          <c:invertIfNegative val="0"/>
          <c:dLbls>
            <c:dLbl>
              <c:idx val="0"/>
              <c:layout>
                <c:manualLayout>
                  <c:x val="1.1111111111111125E-2"/>
                  <c:y val="-3.24074074074079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5.5555555555555558E-3"/>
                  <c:y val="-4.166666666666666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6666666666666781E-2"/>
                  <c:y val="-4.166666666666666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Лист1!$A$103:$A$105</c:f>
              <c:strCache>
                <c:ptCount val="3"/>
                <c:pt idx="0">
                  <c:v>2014 рік</c:v>
                </c:pt>
                <c:pt idx="1">
                  <c:v>2015 рік</c:v>
                </c:pt>
                <c:pt idx="2">
                  <c:v>2016 рік</c:v>
                </c:pt>
              </c:strCache>
            </c:strRef>
          </c:cat>
          <c:val>
            <c:numRef>
              <c:f>Лист1!$B$103:$B$105</c:f>
              <c:numCache>
                <c:formatCode>General</c:formatCode>
                <c:ptCount val="3"/>
                <c:pt idx="0" formatCode="0.0">
                  <c:v>12</c:v>
                </c:pt>
                <c:pt idx="1">
                  <c:v>12.6</c:v>
                </c:pt>
                <c:pt idx="2">
                  <c:v>13.1</c:v>
                </c:pt>
              </c:numCache>
            </c:numRef>
          </c:val>
        </c:ser>
        <c:dLbls>
          <c:showLegendKey val="0"/>
          <c:showVal val="0"/>
          <c:showCatName val="0"/>
          <c:showSerName val="0"/>
          <c:showPercent val="0"/>
          <c:showBubbleSize val="0"/>
        </c:dLbls>
        <c:gapWidth val="150"/>
        <c:shape val="cylinder"/>
        <c:axId val="413665056"/>
        <c:axId val="349287416"/>
        <c:axId val="0"/>
      </c:bar3DChart>
      <c:catAx>
        <c:axId val="413665056"/>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349287416"/>
        <c:crosses val="autoZero"/>
        <c:auto val="1"/>
        <c:lblAlgn val="ctr"/>
        <c:lblOffset val="100"/>
        <c:noMultiLvlLbl val="0"/>
      </c:catAx>
      <c:valAx>
        <c:axId val="349287416"/>
        <c:scaling>
          <c:orientation val="minMax"/>
        </c:scaling>
        <c:delete val="1"/>
        <c:axPos val="l"/>
        <c:numFmt formatCode="0.0" sourceLinked="1"/>
        <c:majorTickMark val="out"/>
        <c:minorTickMark val="none"/>
        <c:tickLblPos val="none"/>
        <c:crossAx val="413665056"/>
        <c:crosses val="autoZero"/>
        <c:crossBetween val="between"/>
      </c:valAx>
    </c:plotArea>
    <c:plotVisOnly val="1"/>
    <c:dispBlanksAs val="gap"/>
    <c:showDLblsOverMax val="0"/>
  </c:chart>
  <c:spPr>
    <a:ln>
      <a:no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uk-UA" sz="1200">
                <a:latin typeface="Times New Roman" pitchFamily="18" charset="0"/>
                <a:cs typeface="Times New Roman" pitchFamily="18" charset="0"/>
              </a:rPr>
              <a:t>Експорт</a:t>
            </a:r>
            <a:r>
              <a:rPr lang="uk-UA" sz="1200" baseline="0">
                <a:latin typeface="Times New Roman" pitchFamily="18" charset="0"/>
                <a:cs typeface="Times New Roman" pitchFamily="18" charset="0"/>
              </a:rPr>
              <a:t> та імпорт товарів, млн.дол.США</a:t>
            </a:r>
            <a:endParaRPr lang="uk-UA" sz="1200">
              <a:latin typeface="Times New Roman" pitchFamily="18" charset="0"/>
              <a:cs typeface="Times New Roman" pitchFamily="18" charset="0"/>
            </a:endParaRPr>
          </a:p>
        </c:rich>
      </c:tx>
      <c:overlay val="1"/>
    </c:title>
    <c:autoTitleDeleted val="0"/>
    <c:plotArea>
      <c:layout>
        <c:manualLayout>
          <c:layoutTarget val="inner"/>
          <c:xMode val="edge"/>
          <c:yMode val="edge"/>
          <c:x val="5.5555555555555558E-3"/>
          <c:y val="0.12037037037037036"/>
          <c:w val="0.71388888888889701"/>
          <c:h val="0.77658974919801693"/>
        </c:manualLayout>
      </c:layout>
      <c:lineChart>
        <c:grouping val="stacked"/>
        <c:varyColors val="0"/>
        <c:ser>
          <c:idx val="0"/>
          <c:order val="0"/>
          <c:tx>
            <c:strRef>
              <c:f>Лист1!$B$61</c:f>
              <c:strCache>
                <c:ptCount val="1"/>
                <c:pt idx="0">
                  <c:v>Обсяг імпорту товарів, млн.дол.
США</c:v>
                </c:pt>
              </c:strCache>
            </c:strRef>
          </c:tx>
          <c:spPr>
            <a:ln w="31750"/>
          </c:spPr>
          <c:marker>
            <c:symbol val="circle"/>
            <c:size val="7"/>
            <c:spPr>
              <a:ln cap="rnd"/>
            </c:spPr>
          </c:marker>
          <c:dLbls>
            <c:dLbl>
              <c:idx val="0"/>
              <c:layout>
                <c:manualLayout>
                  <c:x val="-1.9444444444444445E-2"/>
                  <c:y val="-6.481481481481614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5.5555555555555558E-3"/>
                  <c:y val="4.166666666666666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Лист1!$A$62:$A$65</c:f>
              <c:strCache>
                <c:ptCount val="4"/>
                <c:pt idx="0">
                  <c:v>2014 рік </c:v>
                </c:pt>
                <c:pt idx="1">
                  <c:v>2015 рік</c:v>
                </c:pt>
                <c:pt idx="2">
                  <c:v>2016 рік</c:v>
                </c:pt>
                <c:pt idx="3">
                  <c:v>6 міс. 2017 року</c:v>
                </c:pt>
              </c:strCache>
            </c:strRef>
          </c:cat>
          <c:val>
            <c:numRef>
              <c:f>Лист1!$B$62:$B$65</c:f>
              <c:numCache>
                <c:formatCode>General</c:formatCode>
                <c:ptCount val="4"/>
                <c:pt idx="0">
                  <c:v>119.7</c:v>
                </c:pt>
                <c:pt idx="1">
                  <c:v>81.8</c:v>
                </c:pt>
                <c:pt idx="2">
                  <c:v>109.7</c:v>
                </c:pt>
                <c:pt idx="3" formatCode="0.0">
                  <c:v>61</c:v>
                </c:pt>
              </c:numCache>
            </c:numRef>
          </c:val>
          <c:smooth val="0"/>
        </c:ser>
        <c:ser>
          <c:idx val="1"/>
          <c:order val="1"/>
          <c:tx>
            <c:strRef>
              <c:f>Лист1!$C$61</c:f>
              <c:strCache>
                <c:ptCount val="1"/>
                <c:pt idx="0">
                  <c:v>Обсяг експорту товарів, млн.дол. США</c:v>
                </c:pt>
              </c:strCache>
            </c:strRef>
          </c:tx>
          <c:spPr>
            <a:ln w="31750">
              <a:solidFill>
                <a:schemeClr val="accent3">
                  <a:lumMod val="75000"/>
                </a:schemeClr>
              </a:solidFill>
            </a:ln>
          </c:spPr>
          <c:marker>
            <c:spPr>
              <a:solidFill>
                <a:schemeClr val="accent3">
                  <a:lumMod val="75000"/>
                </a:schemeClr>
              </a:solidFill>
              <a:ln>
                <a:solidFill>
                  <a:schemeClr val="accent3">
                    <a:lumMod val="75000"/>
                  </a:schemeClr>
                </a:solidFill>
              </a:ln>
            </c:spPr>
          </c:marker>
          <c:dLbls>
            <c:dLbl>
              <c:idx val="1"/>
              <c:layout>
                <c:manualLayout>
                  <c:x val="-8.3333333333333367E-3"/>
                  <c:y val="5.555555555555545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Лист1!$A$62:$A$65</c:f>
              <c:strCache>
                <c:ptCount val="4"/>
                <c:pt idx="0">
                  <c:v>2014 рік </c:v>
                </c:pt>
                <c:pt idx="1">
                  <c:v>2015 рік</c:v>
                </c:pt>
                <c:pt idx="2">
                  <c:v>2016 рік</c:v>
                </c:pt>
                <c:pt idx="3">
                  <c:v>6 міс. 2017 року</c:v>
                </c:pt>
              </c:strCache>
            </c:strRef>
          </c:cat>
          <c:val>
            <c:numRef>
              <c:f>Лист1!$C$62:$C$65</c:f>
              <c:numCache>
                <c:formatCode>General</c:formatCode>
                <c:ptCount val="4"/>
                <c:pt idx="0">
                  <c:v>155.69999999999999</c:v>
                </c:pt>
                <c:pt idx="1">
                  <c:v>125.1</c:v>
                </c:pt>
                <c:pt idx="2">
                  <c:v>131.19999999999999</c:v>
                </c:pt>
                <c:pt idx="3" formatCode="0.0">
                  <c:v>78.8</c:v>
                </c:pt>
              </c:numCache>
            </c:numRef>
          </c:val>
          <c:smooth val="0"/>
        </c:ser>
        <c:dLbls>
          <c:showLegendKey val="0"/>
          <c:showVal val="0"/>
          <c:showCatName val="0"/>
          <c:showSerName val="0"/>
          <c:showPercent val="0"/>
          <c:showBubbleSize val="0"/>
        </c:dLbls>
        <c:marker val="1"/>
        <c:smooth val="0"/>
        <c:axId val="423744248"/>
        <c:axId val="423747384"/>
      </c:lineChart>
      <c:catAx>
        <c:axId val="423744248"/>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423747384"/>
        <c:crosses val="autoZero"/>
        <c:auto val="1"/>
        <c:lblAlgn val="ctr"/>
        <c:lblOffset val="100"/>
        <c:noMultiLvlLbl val="0"/>
      </c:catAx>
      <c:valAx>
        <c:axId val="423747384"/>
        <c:scaling>
          <c:orientation val="minMax"/>
        </c:scaling>
        <c:delete val="1"/>
        <c:axPos val="l"/>
        <c:majorGridlines>
          <c:spPr>
            <a:ln>
              <a:noFill/>
            </a:ln>
          </c:spPr>
        </c:majorGridlines>
        <c:numFmt formatCode="General" sourceLinked="1"/>
        <c:majorTickMark val="out"/>
        <c:minorTickMark val="none"/>
        <c:tickLblPos val="none"/>
        <c:crossAx val="423744248"/>
        <c:crosses val="autoZero"/>
        <c:crossBetween val="between"/>
      </c:valAx>
    </c:plotArea>
    <c:legend>
      <c:legendPos val="r"/>
      <c:layout>
        <c:manualLayout>
          <c:xMode val="edge"/>
          <c:yMode val="edge"/>
          <c:x val="0.71111111111111114"/>
          <c:y val="0.18275601625746407"/>
          <c:w val="0.28611111111111109"/>
          <c:h val="0.57747929632988992"/>
        </c:manualLayout>
      </c:layout>
      <c:overlay val="0"/>
      <c:txPr>
        <a:bodyPr/>
        <a:lstStyle/>
        <a:p>
          <a:pPr>
            <a:defRPr>
              <a:latin typeface="Times New Roman" pitchFamily="18" charset="0"/>
              <a:cs typeface="Times New Roman" pitchFamily="18" charset="0"/>
            </a:defRPr>
          </a:pPr>
          <a:endParaRPr lang="ru-RU"/>
        </a:p>
      </c:txPr>
    </c:legend>
    <c:plotVisOnly val="1"/>
    <c:dispBlanksAs val="zero"/>
    <c:showDLblsOverMax val="0"/>
  </c:chart>
  <c:spPr>
    <a:ln>
      <a:noFill/>
    </a:ln>
  </c:spPr>
  <c:externalData r:id="rId2">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itchFamily="18" charset="0"/>
                <a:cs typeface="Times New Roman" pitchFamily="18" charset="0"/>
              </a:defRPr>
            </a:pPr>
            <a:r>
              <a:rPr lang="ru-RU" sz="1050">
                <a:solidFill>
                  <a:schemeClr val="tx1"/>
                </a:solidFill>
                <a:latin typeface="Times New Roman" pitchFamily="18" charset="0"/>
                <a:cs typeface="Times New Roman" pitchFamily="18" charset="0"/>
              </a:rPr>
              <a:t>Загальна кількість контейнерів для твердих побутових відходів, од. </a:t>
            </a:r>
          </a:p>
        </c:rich>
      </c:tx>
      <c:layout>
        <c:manualLayout>
          <c:xMode val="edge"/>
          <c:yMode val="edge"/>
          <c:x val="0.14011355502049846"/>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2.0742500162686268E-3"/>
          <c:y val="0.20396060584170267"/>
          <c:w val="0.75432387583783433"/>
          <c:h val="0.51456270147438898"/>
        </c:manualLayout>
      </c:layout>
      <c:bar3DChart>
        <c:barDir val="col"/>
        <c:grouping val="clustered"/>
        <c:varyColors val="0"/>
        <c:ser>
          <c:idx val="0"/>
          <c:order val="0"/>
          <c:tx>
            <c:strRef>
              <c:f>Лист1!$A$38</c:f>
              <c:strCache>
                <c:ptCount val="1"/>
                <c:pt idx="0">
                  <c:v>Контейнери, всього</c:v>
                </c:pt>
              </c:strCache>
            </c:strRef>
          </c:tx>
          <c:invertIfNegative val="0"/>
          <c:dLbls>
            <c:spPr>
              <a:noFill/>
              <a:ln>
                <a:noFill/>
              </a:ln>
              <a:effectLst/>
            </c:spPr>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Лист1!$B$37:$E$37</c:f>
              <c:strCache>
                <c:ptCount val="4"/>
                <c:pt idx="0">
                  <c:v>2014 рік</c:v>
                </c:pt>
                <c:pt idx="1">
                  <c:v>2015 рік </c:v>
                </c:pt>
                <c:pt idx="2">
                  <c:v>2016 рік</c:v>
                </c:pt>
                <c:pt idx="3">
                  <c:v>9 міс. 2017 року</c:v>
                </c:pt>
              </c:strCache>
            </c:strRef>
          </c:cat>
          <c:val>
            <c:numRef>
              <c:f>Лист1!$B$38:$E$38</c:f>
              <c:numCache>
                <c:formatCode>General</c:formatCode>
                <c:ptCount val="4"/>
                <c:pt idx="0">
                  <c:v>1449</c:v>
                </c:pt>
                <c:pt idx="1">
                  <c:v>1624</c:v>
                </c:pt>
                <c:pt idx="2">
                  <c:v>1645</c:v>
                </c:pt>
                <c:pt idx="3">
                  <c:v>1800</c:v>
                </c:pt>
              </c:numCache>
            </c:numRef>
          </c:val>
        </c:ser>
        <c:ser>
          <c:idx val="1"/>
          <c:order val="1"/>
          <c:tx>
            <c:strRef>
              <c:f>Лист1!$A$39</c:f>
              <c:strCache>
                <c:ptCount val="1"/>
                <c:pt idx="0">
                  <c:v>Контейнери для роздільного сміття</c:v>
                </c:pt>
              </c:strCache>
            </c:strRef>
          </c:tx>
          <c:spPr>
            <a:solidFill>
              <a:schemeClr val="accent3">
                <a:lumMod val="75000"/>
              </a:schemeClr>
            </a:solidFill>
          </c:spPr>
          <c:invertIfNegative val="0"/>
          <c:dLbls>
            <c:dLbl>
              <c:idx val="0"/>
              <c:layout>
                <c:manualLayout>
                  <c:x val="3.9342582177227844E-2"/>
                  <c:y val="-4.6303440257887424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0100701698002027E-2"/>
                  <c:y val="-5.0266871003541557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7584944739050476E-2"/>
                  <c:y val="-4.6298155683558708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7672955974842851E-2"/>
                  <c:y val="-8.5106382978724568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Лист1!$B$37:$E$37</c:f>
              <c:strCache>
                <c:ptCount val="4"/>
                <c:pt idx="0">
                  <c:v>2014 рік</c:v>
                </c:pt>
                <c:pt idx="1">
                  <c:v>2015 рік </c:v>
                </c:pt>
                <c:pt idx="2">
                  <c:v>2016 рік</c:v>
                </c:pt>
                <c:pt idx="3">
                  <c:v>9 міс. 2017 року</c:v>
                </c:pt>
              </c:strCache>
            </c:strRef>
          </c:cat>
          <c:val>
            <c:numRef>
              <c:f>Лист1!$B$39:$E$39</c:f>
              <c:numCache>
                <c:formatCode>General</c:formatCode>
                <c:ptCount val="4"/>
                <c:pt idx="0">
                  <c:v>412</c:v>
                </c:pt>
                <c:pt idx="1">
                  <c:v>630</c:v>
                </c:pt>
                <c:pt idx="2">
                  <c:v>630</c:v>
                </c:pt>
                <c:pt idx="3">
                  <c:v>699</c:v>
                </c:pt>
              </c:numCache>
            </c:numRef>
          </c:val>
        </c:ser>
        <c:dLbls>
          <c:showLegendKey val="0"/>
          <c:showVal val="0"/>
          <c:showCatName val="0"/>
          <c:showSerName val="0"/>
          <c:showPercent val="0"/>
          <c:showBubbleSize val="0"/>
        </c:dLbls>
        <c:gapWidth val="150"/>
        <c:shape val="box"/>
        <c:axId val="502507704"/>
        <c:axId val="502507312"/>
        <c:axId val="0"/>
      </c:bar3DChart>
      <c:catAx>
        <c:axId val="502507704"/>
        <c:scaling>
          <c:orientation val="minMax"/>
        </c:scaling>
        <c:delete val="0"/>
        <c:axPos val="b"/>
        <c:numFmt formatCode="General" sourceLinked="1"/>
        <c:majorTickMark val="out"/>
        <c:minorTickMark val="none"/>
        <c:tickLblPos val="nextTo"/>
        <c:txPr>
          <a:bodyPr/>
          <a:lstStyle/>
          <a:p>
            <a:pPr>
              <a:defRPr sz="1000" b="1">
                <a:latin typeface="Times New Roman" pitchFamily="18" charset="0"/>
                <a:cs typeface="Times New Roman" pitchFamily="18" charset="0"/>
              </a:defRPr>
            </a:pPr>
            <a:endParaRPr lang="ru-RU"/>
          </a:p>
        </c:txPr>
        <c:crossAx val="502507312"/>
        <c:crosses val="autoZero"/>
        <c:auto val="1"/>
        <c:lblAlgn val="ctr"/>
        <c:lblOffset val="100"/>
        <c:noMultiLvlLbl val="0"/>
      </c:catAx>
      <c:valAx>
        <c:axId val="502507312"/>
        <c:scaling>
          <c:orientation val="minMax"/>
        </c:scaling>
        <c:delete val="1"/>
        <c:axPos val="l"/>
        <c:numFmt formatCode="General" sourceLinked="1"/>
        <c:majorTickMark val="out"/>
        <c:minorTickMark val="none"/>
        <c:tickLblPos val="none"/>
        <c:crossAx val="502507704"/>
        <c:crosses val="autoZero"/>
        <c:crossBetween val="between"/>
      </c:valAx>
    </c:plotArea>
    <c:legend>
      <c:legendPos val="r"/>
      <c:layout>
        <c:manualLayout>
          <c:xMode val="edge"/>
          <c:yMode val="edge"/>
          <c:x val="0.68408798073793065"/>
          <c:y val="0.27878879818922198"/>
          <c:w val="0.31591201926206286"/>
          <c:h val="0.51942690649907364"/>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itchFamily="18" charset="0"/>
                <a:cs typeface="Times New Roman" pitchFamily="18" charset="0"/>
              </a:defRPr>
            </a:pPr>
            <a:r>
              <a:rPr lang="uk-UA" sz="1100">
                <a:latin typeface="Times New Roman" pitchFamily="18" charset="0"/>
                <a:cs typeface="Times New Roman" pitchFamily="18" charset="0"/>
              </a:rPr>
              <a:t>Кількість</a:t>
            </a:r>
            <a:r>
              <a:rPr lang="uk-UA" sz="1100" baseline="0">
                <a:latin typeface="Times New Roman" pitchFamily="18" charset="0"/>
                <a:cs typeface="Times New Roman" pitchFamily="18" charset="0"/>
              </a:rPr>
              <a:t> облаштованих майданчиків для збору ТПВ, од.</a:t>
            </a:r>
            <a:endParaRPr lang="uk-UA" sz="1100">
              <a:latin typeface="Times New Roman" pitchFamily="18" charset="0"/>
              <a:cs typeface="Times New Roman" pitchFamily="18" charset="0"/>
            </a:endParaRPr>
          </a:p>
        </c:rich>
      </c:tx>
      <c:layout>
        <c:manualLayout>
          <c:xMode val="edge"/>
          <c:yMode val="edge"/>
          <c:x val="0.15782968305432649"/>
          <c:y val="3.0136705224550692E-3"/>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28138319217089874"/>
          <c:y val="0.1960956973538685"/>
          <c:w val="0.71861680782910164"/>
          <c:h val="0.80390430264613244"/>
        </c:manualLayout>
      </c:layout>
      <c:bar3DChart>
        <c:barDir val="bar"/>
        <c:grouping val="clustered"/>
        <c:varyColors val="0"/>
        <c:ser>
          <c:idx val="0"/>
          <c:order val="0"/>
          <c:invertIfNegative val="0"/>
          <c:dLbls>
            <c:dLbl>
              <c:idx val="0"/>
              <c:layout>
                <c:manualLayout>
                  <c:x val="5.5555555555555558E-3"/>
                  <c:y val="0"/>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111111111111125E-2"/>
                  <c:y val="-4.6296296296296988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6666666666666621E-2"/>
                  <c:y val="0"/>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5000000000000001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Лист1!$A$119:$A$122</c:f>
              <c:strCache>
                <c:ptCount val="4"/>
                <c:pt idx="0">
                  <c:v>2014 рік</c:v>
                </c:pt>
                <c:pt idx="1">
                  <c:v>2015 рік</c:v>
                </c:pt>
                <c:pt idx="2">
                  <c:v>2016 рік</c:v>
                </c:pt>
                <c:pt idx="3">
                  <c:v>8 міс. 2017 року</c:v>
                </c:pt>
              </c:strCache>
            </c:strRef>
          </c:cat>
          <c:val>
            <c:numRef>
              <c:f>Лист1!$B$119:$B$122</c:f>
              <c:numCache>
                <c:formatCode>General</c:formatCode>
                <c:ptCount val="4"/>
                <c:pt idx="0">
                  <c:v>113</c:v>
                </c:pt>
                <c:pt idx="1">
                  <c:v>13</c:v>
                </c:pt>
                <c:pt idx="2">
                  <c:v>22</c:v>
                </c:pt>
                <c:pt idx="3">
                  <c:v>7</c:v>
                </c:pt>
              </c:numCache>
            </c:numRef>
          </c:val>
        </c:ser>
        <c:dLbls>
          <c:showLegendKey val="0"/>
          <c:showVal val="0"/>
          <c:showCatName val="0"/>
          <c:showSerName val="0"/>
          <c:showPercent val="0"/>
          <c:showBubbleSize val="0"/>
        </c:dLbls>
        <c:gapWidth val="150"/>
        <c:shape val="cylinder"/>
        <c:axId val="502506136"/>
        <c:axId val="502508096"/>
        <c:axId val="0"/>
      </c:bar3DChart>
      <c:catAx>
        <c:axId val="502506136"/>
        <c:scaling>
          <c:orientation val="minMax"/>
        </c:scaling>
        <c:delete val="0"/>
        <c:axPos val="l"/>
        <c:numFmt formatCode="General" sourceLinked="0"/>
        <c:majorTickMark val="out"/>
        <c:minorTickMark val="none"/>
        <c:tickLblPos val="nextTo"/>
        <c:txPr>
          <a:bodyPr/>
          <a:lstStyle/>
          <a:p>
            <a:pPr>
              <a:defRPr sz="900" b="1">
                <a:latin typeface="Times New Roman" pitchFamily="18" charset="0"/>
                <a:cs typeface="Times New Roman" pitchFamily="18" charset="0"/>
              </a:defRPr>
            </a:pPr>
            <a:endParaRPr lang="ru-RU"/>
          </a:p>
        </c:txPr>
        <c:crossAx val="502508096"/>
        <c:crosses val="autoZero"/>
        <c:auto val="1"/>
        <c:lblAlgn val="ctr"/>
        <c:lblOffset val="100"/>
        <c:noMultiLvlLbl val="0"/>
      </c:catAx>
      <c:valAx>
        <c:axId val="502508096"/>
        <c:scaling>
          <c:orientation val="minMax"/>
        </c:scaling>
        <c:delete val="1"/>
        <c:axPos val="b"/>
        <c:numFmt formatCode="General" sourceLinked="1"/>
        <c:majorTickMark val="out"/>
        <c:minorTickMark val="none"/>
        <c:tickLblPos val="none"/>
        <c:crossAx val="502506136"/>
        <c:crosses val="autoZero"/>
        <c:crossBetween val="between"/>
      </c:valAx>
    </c:plotArea>
    <c:plotVisOnly val="1"/>
    <c:dispBlanksAs val="gap"/>
    <c:showDLblsOverMax val="0"/>
  </c:chart>
  <c:spPr>
    <a:ln>
      <a:noFill/>
    </a:ln>
  </c:spPr>
  <c:externalData r:id="rId2">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uk-UA" sz="1200">
                <a:latin typeface="Times New Roman" pitchFamily="18" charset="0"/>
                <a:cs typeface="Times New Roman" pitchFamily="18" charset="0"/>
              </a:rPr>
              <a:t>Кількість</a:t>
            </a:r>
            <a:r>
              <a:rPr lang="uk-UA" sz="1200" baseline="0">
                <a:latin typeface="Times New Roman" pitchFamily="18" charset="0"/>
                <a:cs typeface="Times New Roman" pitchFamily="18" charset="0"/>
              </a:rPr>
              <a:t> стерилізованих та кастрованих безпритульних тварин, од.</a:t>
            </a:r>
            <a:endParaRPr lang="uk-UA" sz="1200">
              <a:latin typeface="Times New Roman" pitchFamily="18" charset="0"/>
              <a:cs typeface="Times New Roman" pitchFamily="18" charset="0"/>
            </a:endParaRPr>
          </a:p>
        </c:rich>
      </c:tx>
      <c:layout>
        <c:manualLayout>
          <c:xMode val="edge"/>
          <c:yMode val="edge"/>
          <c:x val="0.10566844919786095"/>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3.9215686274509803E-2"/>
          <c:y val="0.30222222222222556"/>
          <c:w val="0.92156862745098034"/>
          <c:h val="0.50450793650793646"/>
        </c:manualLayout>
      </c:layout>
      <c:bar3DChart>
        <c:barDir val="col"/>
        <c:grouping val="clustered"/>
        <c:varyColors val="0"/>
        <c:ser>
          <c:idx val="0"/>
          <c:order val="0"/>
          <c:invertIfNegative val="0"/>
          <c:dLbls>
            <c:dLbl>
              <c:idx val="0"/>
              <c:layout>
                <c:manualLayout>
                  <c:x val="1.6666666666666701E-2"/>
                  <c:y val="-3.703703703703705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111111111111125E-2"/>
                  <c:y val="-3.7037037037037056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6666666666666701E-2"/>
                  <c:y val="-2.3148148148148157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6666666666666583E-2"/>
                  <c:y val="-3.703703703703705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Лист1!$A$135:$A$138</c:f>
              <c:strCache>
                <c:ptCount val="4"/>
                <c:pt idx="0">
                  <c:v>2014 рік</c:v>
                </c:pt>
                <c:pt idx="1">
                  <c:v>2015 рік</c:v>
                </c:pt>
                <c:pt idx="2">
                  <c:v>2016 рік</c:v>
                </c:pt>
                <c:pt idx="3">
                  <c:v>8 міс. 2017 року</c:v>
                </c:pt>
              </c:strCache>
            </c:strRef>
          </c:cat>
          <c:val>
            <c:numRef>
              <c:f>Лист1!$B$135:$B$138</c:f>
              <c:numCache>
                <c:formatCode>General</c:formatCode>
                <c:ptCount val="4"/>
                <c:pt idx="0">
                  <c:v>398</c:v>
                </c:pt>
                <c:pt idx="1">
                  <c:v>998</c:v>
                </c:pt>
                <c:pt idx="2">
                  <c:v>1299</c:v>
                </c:pt>
                <c:pt idx="3">
                  <c:v>1007</c:v>
                </c:pt>
              </c:numCache>
            </c:numRef>
          </c:val>
        </c:ser>
        <c:dLbls>
          <c:showLegendKey val="0"/>
          <c:showVal val="0"/>
          <c:showCatName val="0"/>
          <c:showSerName val="0"/>
          <c:showPercent val="0"/>
          <c:showBubbleSize val="0"/>
        </c:dLbls>
        <c:gapWidth val="150"/>
        <c:shape val="box"/>
        <c:axId val="502503784"/>
        <c:axId val="502508488"/>
        <c:axId val="0"/>
      </c:bar3DChart>
      <c:catAx>
        <c:axId val="502503784"/>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508488"/>
        <c:crosses val="autoZero"/>
        <c:auto val="1"/>
        <c:lblAlgn val="ctr"/>
        <c:lblOffset val="100"/>
        <c:noMultiLvlLbl val="0"/>
      </c:catAx>
      <c:valAx>
        <c:axId val="502508488"/>
        <c:scaling>
          <c:orientation val="minMax"/>
        </c:scaling>
        <c:delete val="1"/>
        <c:axPos val="l"/>
        <c:numFmt formatCode="General" sourceLinked="1"/>
        <c:majorTickMark val="out"/>
        <c:minorTickMark val="none"/>
        <c:tickLblPos val="none"/>
        <c:crossAx val="502503784"/>
        <c:crosses val="autoZero"/>
        <c:crossBetween val="between"/>
      </c:valAx>
    </c:plotArea>
    <c:plotVisOnly val="1"/>
    <c:dispBlanksAs val="gap"/>
    <c:showDLblsOverMax val="0"/>
  </c:chart>
  <c:spPr>
    <a:ln>
      <a:noFill/>
    </a:ln>
  </c:spPr>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Структура</a:t>
            </a:r>
            <a:r>
              <a:rPr lang="ru-RU" sz="1200" baseline="0">
                <a:latin typeface="Times New Roman" pitchFamily="18" charset="0"/>
                <a:cs typeface="Times New Roman" pitchFamily="18" charset="0"/>
              </a:rPr>
              <a:t> </a:t>
            </a:r>
            <a:r>
              <a:rPr lang="ru-RU" sz="1200">
                <a:latin typeface="Times New Roman" pitchFamily="18" charset="0"/>
                <a:cs typeface="Times New Roman" pitchFamily="18" charset="0"/>
              </a:rPr>
              <a:t>маршрутної мережі, од.</a:t>
            </a:r>
          </a:p>
        </c:rich>
      </c:tx>
      <c:overlay val="0"/>
    </c:title>
    <c:autoTitleDeleted val="0"/>
    <c:plotArea>
      <c:layout/>
      <c:doughnutChart>
        <c:varyColors val="1"/>
        <c:ser>
          <c:idx val="0"/>
          <c:order val="0"/>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Лист1!$B$67:$B$69</c:f>
              <c:strCache>
                <c:ptCount val="3"/>
                <c:pt idx="0">
                  <c:v>Автобусні маршрути</c:v>
                </c:pt>
                <c:pt idx="1">
                  <c:v>Тролейбусні маршрути</c:v>
                </c:pt>
                <c:pt idx="2">
                  <c:v>Трамвайні маршрути</c:v>
                </c:pt>
              </c:strCache>
            </c:strRef>
          </c:cat>
          <c:val>
            <c:numRef>
              <c:f>Лист1!$C$67:$C$69</c:f>
              <c:numCache>
                <c:formatCode>General</c:formatCode>
                <c:ptCount val="3"/>
                <c:pt idx="0">
                  <c:v>19</c:v>
                </c:pt>
                <c:pt idx="1">
                  <c:v>14</c:v>
                </c:pt>
                <c:pt idx="2">
                  <c:v>1</c:v>
                </c:pt>
              </c:numCache>
            </c:numRef>
          </c:val>
        </c:ser>
        <c:dLbls>
          <c:showLegendKey val="0"/>
          <c:showVal val="0"/>
          <c:showCatName val="0"/>
          <c:showSerName val="0"/>
          <c:showPercent val="0"/>
          <c:showBubbleSize val="0"/>
          <c:showLeaderLines val="1"/>
        </c:dLbls>
        <c:firstSliceAng val="0"/>
        <c:holeSize val="50"/>
      </c:doughnutChart>
    </c:plotArea>
    <c:legend>
      <c:legendPos val="r"/>
      <c:overlay val="0"/>
      <c:txPr>
        <a:bodyPr/>
        <a:lstStyle/>
        <a:p>
          <a:pPr>
            <a:defRPr>
              <a:latin typeface="Times New Roman" pitchFamily="18" charset="0"/>
              <a:cs typeface="Times New Roman" pitchFamily="18" charset="0"/>
            </a:defRPr>
          </a:pPr>
          <a:endParaRPr lang="ru-RU"/>
        </a:p>
      </c:txPr>
    </c:legend>
    <c:plotVisOnly val="1"/>
    <c:dispBlanksAs val="zero"/>
    <c:showDLblsOverMax val="0"/>
  </c:chart>
  <c:spPr>
    <a:ln>
      <a:noFill/>
    </a:ln>
  </c:spPr>
  <c:externalData r:id="rId2">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Рухомий</a:t>
            </a:r>
            <a:r>
              <a:rPr lang="ru-RU" sz="1200" baseline="0">
                <a:latin typeface="Times New Roman" pitchFamily="18" charset="0"/>
                <a:cs typeface="Times New Roman" pitchFamily="18" charset="0"/>
              </a:rPr>
              <a:t> склад тролейбусів, од.</a:t>
            </a:r>
            <a:endParaRPr lang="ru-RU" sz="1200">
              <a:latin typeface="Times New Roman" pitchFamily="18" charset="0"/>
              <a:cs typeface="Times New Roman" pitchFamily="18" charset="0"/>
            </a:endParaRPr>
          </a:p>
        </c:rich>
      </c:tx>
      <c:layout>
        <c:manualLayout>
          <c:xMode val="edge"/>
          <c:yMode val="edge"/>
          <c:x val="0.16084669197227011"/>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
          <c:y val="0.15432058944439342"/>
          <c:w val="0.73083696709225365"/>
          <c:h val="0.67344907187807146"/>
        </c:manualLayout>
      </c:layout>
      <c:bar3DChart>
        <c:barDir val="col"/>
        <c:grouping val="clustered"/>
        <c:varyColors val="0"/>
        <c:ser>
          <c:idx val="0"/>
          <c:order val="0"/>
          <c:tx>
            <c:strRef>
              <c:f>Лист1!$B$102</c:f>
              <c:strCache>
                <c:ptCount val="1"/>
                <c:pt idx="0">
                  <c:v>Кількість тролейбусів, всього</c:v>
                </c:pt>
              </c:strCache>
            </c:strRef>
          </c:tx>
          <c:invertIfNegative val="0"/>
          <c:dLbls>
            <c:spPr>
              <a:noFill/>
              <a:ln>
                <a:noFill/>
              </a:ln>
              <a:effectLst/>
            </c:spPr>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Лист1!$C$101:$E$101</c:f>
              <c:strCache>
                <c:ptCount val="3"/>
                <c:pt idx="0">
                  <c:v>2015 рік</c:v>
                </c:pt>
                <c:pt idx="1">
                  <c:v>2016 рік</c:v>
                </c:pt>
                <c:pt idx="2">
                  <c:v>6 міс.2017 року</c:v>
                </c:pt>
              </c:strCache>
            </c:strRef>
          </c:cat>
          <c:val>
            <c:numRef>
              <c:f>Лист1!$C$102:$E$102</c:f>
              <c:numCache>
                <c:formatCode>General</c:formatCode>
                <c:ptCount val="3"/>
                <c:pt idx="0">
                  <c:v>140</c:v>
                </c:pt>
                <c:pt idx="1">
                  <c:v>158</c:v>
                </c:pt>
                <c:pt idx="2">
                  <c:v>145</c:v>
                </c:pt>
              </c:numCache>
            </c:numRef>
          </c:val>
        </c:ser>
        <c:ser>
          <c:idx val="1"/>
          <c:order val="1"/>
          <c:tx>
            <c:strRef>
              <c:f>Лист1!$B$103</c:f>
              <c:strCache>
                <c:ptCount val="1"/>
                <c:pt idx="0">
                  <c:v>Кількість тролейбусів, що здійснюють перевезення</c:v>
                </c:pt>
              </c:strCache>
            </c:strRef>
          </c:tx>
          <c:spPr>
            <a:solidFill>
              <a:schemeClr val="accent3">
                <a:lumMod val="75000"/>
              </a:schemeClr>
            </a:solidFill>
          </c:spPr>
          <c:invertIfNegative val="0"/>
          <c:dLbls>
            <c:dLbl>
              <c:idx val="0"/>
              <c:layout>
                <c:manualLayout>
                  <c:x val="2.5000000000000001E-2"/>
                  <c:y val="-4.6296296296296996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000000000000001E-2"/>
                  <c:y val="0"/>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333333333333334E-2"/>
                  <c:y val="-9.2592592592594686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Лист1!$C$101:$E$101</c:f>
              <c:strCache>
                <c:ptCount val="3"/>
                <c:pt idx="0">
                  <c:v>2015 рік</c:v>
                </c:pt>
                <c:pt idx="1">
                  <c:v>2016 рік</c:v>
                </c:pt>
                <c:pt idx="2">
                  <c:v>6 міс.2017 року</c:v>
                </c:pt>
              </c:strCache>
            </c:strRef>
          </c:cat>
          <c:val>
            <c:numRef>
              <c:f>Лист1!$C$103:$E$103</c:f>
              <c:numCache>
                <c:formatCode>General</c:formatCode>
                <c:ptCount val="3"/>
                <c:pt idx="0">
                  <c:v>83</c:v>
                </c:pt>
                <c:pt idx="1">
                  <c:v>90</c:v>
                </c:pt>
                <c:pt idx="2">
                  <c:v>92</c:v>
                </c:pt>
              </c:numCache>
            </c:numRef>
          </c:val>
        </c:ser>
        <c:dLbls>
          <c:showLegendKey val="0"/>
          <c:showVal val="0"/>
          <c:showCatName val="0"/>
          <c:showSerName val="0"/>
          <c:showPercent val="0"/>
          <c:showBubbleSize val="0"/>
        </c:dLbls>
        <c:gapWidth val="150"/>
        <c:shape val="box"/>
        <c:axId val="502505352"/>
        <c:axId val="502506920"/>
        <c:axId val="0"/>
      </c:bar3DChart>
      <c:catAx>
        <c:axId val="502505352"/>
        <c:scaling>
          <c:orientation val="minMax"/>
        </c:scaling>
        <c:delete val="0"/>
        <c:axPos val="b"/>
        <c:numFmt formatCode="General" sourceLinked="1"/>
        <c:majorTickMark val="out"/>
        <c:minorTickMark val="none"/>
        <c:tickLblPos val="nextTo"/>
        <c:txPr>
          <a:bodyPr/>
          <a:lstStyle/>
          <a:p>
            <a:pPr>
              <a:defRPr sz="900" b="1">
                <a:latin typeface="Times New Roman" pitchFamily="18" charset="0"/>
                <a:cs typeface="Times New Roman" pitchFamily="18" charset="0"/>
              </a:defRPr>
            </a:pPr>
            <a:endParaRPr lang="ru-RU"/>
          </a:p>
        </c:txPr>
        <c:crossAx val="502506920"/>
        <c:crosses val="autoZero"/>
        <c:auto val="1"/>
        <c:lblAlgn val="ctr"/>
        <c:lblOffset val="100"/>
        <c:noMultiLvlLbl val="0"/>
      </c:catAx>
      <c:valAx>
        <c:axId val="502506920"/>
        <c:scaling>
          <c:orientation val="minMax"/>
        </c:scaling>
        <c:delete val="1"/>
        <c:axPos val="l"/>
        <c:numFmt formatCode="General" sourceLinked="1"/>
        <c:majorTickMark val="out"/>
        <c:minorTickMark val="none"/>
        <c:tickLblPos val="none"/>
        <c:crossAx val="502505352"/>
        <c:crosses val="autoZero"/>
        <c:crossBetween val="between"/>
      </c:valAx>
    </c:plotArea>
    <c:legend>
      <c:legendPos val="r"/>
      <c:layout>
        <c:manualLayout>
          <c:xMode val="edge"/>
          <c:yMode val="edge"/>
          <c:x val="0.64585375035291892"/>
          <c:y val="0.17646727982531818"/>
          <c:w val="0.34749635098605192"/>
          <c:h val="0.73109556449329571"/>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itchFamily="18" charset="0"/>
                <a:cs typeface="Times New Roman" pitchFamily="18" charset="0"/>
              </a:defRPr>
            </a:pPr>
            <a:r>
              <a:rPr lang="ru-RU" sz="1200">
                <a:latin typeface="Times New Roman" pitchFamily="18" charset="0"/>
                <a:cs typeface="Times New Roman" pitchFamily="18" charset="0"/>
              </a:rPr>
              <a:t>Рухомий склад</a:t>
            </a:r>
            <a:r>
              <a:rPr lang="ru-RU" sz="1200" baseline="0">
                <a:latin typeface="Times New Roman" pitchFamily="18" charset="0"/>
                <a:cs typeface="Times New Roman" pitchFamily="18" charset="0"/>
              </a:rPr>
              <a:t> трамваїв, од.</a:t>
            </a:r>
            <a:endParaRPr lang="ru-RU" sz="1200">
              <a:latin typeface="Times New Roman" pitchFamily="18" charset="0"/>
              <a:cs typeface="Times New Roman" pitchFamily="18" charset="0"/>
            </a:endParaRPr>
          </a:p>
        </c:rich>
      </c:tx>
      <c:layout>
        <c:manualLayout>
          <c:xMode val="edge"/>
          <c:yMode val="edge"/>
          <c:x val="0.14489400363416124"/>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
          <c:y val="0.13574739649479625"/>
          <c:w val="0.7521181660803038"/>
          <c:h val="0.63940055880111768"/>
        </c:manualLayout>
      </c:layout>
      <c:bar3DChart>
        <c:barDir val="col"/>
        <c:grouping val="clustered"/>
        <c:varyColors val="0"/>
        <c:ser>
          <c:idx val="0"/>
          <c:order val="0"/>
          <c:tx>
            <c:strRef>
              <c:f>Лист1!$B$104</c:f>
              <c:strCache>
                <c:ptCount val="1"/>
                <c:pt idx="0">
                  <c:v>Кількість трамваїв, всього</c:v>
                </c:pt>
              </c:strCache>
            </c:strRef>
          </c:tx>
          <c:invertIfNegative val="0"/>
          <c:dLbls>
            <c:dLbl>
              <c:idx val="1"/>
              <c:layout>
                <c:manualLayout>
                  <c:x val="1.1228070175438601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Лист1!$C$101:$E$101</c:f>
              <c:strCache>
                <c:ptCount val="3"/>
                <c:pt idx="0">
                  <c:v>2015 рік</c:v>
                </c:pt>
                <c:pt idx="1">
                  <c:v>2016 рік</c:v>
                </c:pt>
                <c:pt idx="2">
                  <c:v>6 міс.2017 року</c:v>
                </c:pt>
              </c:strCache>
            </c:strRef>
          </c:cat>
          <c:val>
            <c:numRef>
              <c:f>Лист1!$C$104:$E$104</c:f>
              <c:numCache>
                <c:formatCode>General</c:formatCode>
                <c:ptCount val="3"/>
                <c:pt idx="0">
                  <c:v>32</c:v>
                </c:pt>
                <c:pt idx="1">
                  <c:v>32</c:v>
                </c:pt>
                <c:pt idx="2">
                  <c:v>30</c:v>
                </c:pt>
              </c:numCache>
            </c:numRef>
          </c:val>
        </c:ser>
        <c:ser>
          <c:idx val="1"/>
          <c:order val="1"/>
          <c:tx>
            <c:strRef>
              <c:f>Лист1!$B$105</c:f>
              <c:strCache>
                <c:ptCount val="1"/>
                <c:pt idx="0">
                  <c:v>Кількість трамваїв, що здійснюють перевезення</c:v>
                </c:pt>
              </c:strCache>
            </c:strRef>
          </c:tx>
          <c:spPr>
            <a:solidFill>
              <a:schemeClr val="accent3">
                <a:lumMod val="75000"/>
              </a:schemeClr>
            </a:solidFill>
          </c:spPr>
          <c:invertIfNegative val="0"/>
          <c:dLbls>
            <c:dLbl>
              <c:idx val="0"/>
              <c:layout>
                <c:manualLayout>
                  <c:x val="1.6666666666666701E-2"/>
                  <c:y val="0"/>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0555555555555582E-2"/>
                  <c:y val="0"/>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5000000000000001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Лист1!$C$101:$E$101</c:f>
              <c:strCache>
                <c:ptCount val="3"/>
                <c:pt idx="0">
                  <c:v>2015 рік</c:v>
                </c:pt>
                <c:pt idx="1">
                  <c:v>2016 рік</c:v>
                </c:pt>
                <c:pt idx="2">
                  <c:v>6 міс.2017 року</c:v>
                </c:pt>
              </c:strCache>
            </c:strRef>
          </c:cat>
          <c:val>
            <c:numRef>
              <c:f>Лист1!$C$105:$E$105</c:f>
              <c:numCache>
                <c:formatCode>General</c:formatCode>
                <c:ptCount val="3"/>
                <c:pt idx="0">
                  <c:v>12</c:v>
                </c:pt>
                <c:pt idx="1">
                  <c:v>12</c:v>
                </c:pt>
                <c:pt idx="2">
                  <c:v>12</c:v>
                </c:pt>
              </c:numCache>
            </c:numRef>
          </c:val>
        </c:ser>
        <c:dLbls>
          <c:showLegendKey val="0"/>
          <c:showVal val="0"/>
          <c:showCatName val="0"/>
          <c:showSerName val="0"/>
          <c:showPercent val="0"/>
          <c:showBubbleSize val="0"/>
        </c:dLbls>
        <c:gapWidth val="150"/>
        <c:shape val="box"/>
        <c:axId val="502501824"/>
        <c:axId val="502498296"/>
        <c:axId val="0"/>
      </c:bar3DChart>
      <c:catAx>
        <c:axId val="502501824"/>
        <c:scaling>
          <c:orientation val="minMax"/>
        </c:scaling>
        <c:delete val="0"/>
        <c:axPos val="b"/>
        <c:numFmt formatCode="General" sourceLinked="1"/>
        <c:majorTickMark val="out"/>
        <c:minorTickMark val="none"/>
        <c:tickLblPos val="nextTo"/>
        <c:txPr>
          <a:bodyPr/>
          <a:lstStyle/>
          <a:p>
            <a:pPr>
              <a:defRPr sz="900" b="1">
                <a:latin typeface="Times New Roman" pitchFamily="18" charset="0"/>
                <a:cs typeface="Times New Roman" pitchFamily="18" charset="0"/>
              </a:defRPr>
            </a:pPr>
            <a:endParaRPr lang="ru-RU"/>
          </a:p>
        </c:txPr>
        <c:crossAx val="502498296"/>
        <c:crosses val="autoZero"/>
        <c:auto val="1"/>
        <c:lblAlgn val="ctr"/>
        <c:lblOffset val="100"/>
        <c:noMultiLvlLbl val="0"/>
      </c:catAx>
      <c:valAx>
        <c:axId val="502498296"/>
        <c:scaling>
          <c:orientation val="minMax"/>
        </c:scaling>
        <c:delete val="1"/>
        <c:axPos val="l"/>
        <c:numFmt formatCode="General" sourceLinked="1"/>
        <c:majorTickMark val="out"/>
        <c:minorTickMark val="none"/>
        <c:tickLblPos val="none"/>
        <c:crossAx val="502501824"/>
        <c:crosses val="autoZero"/>
        <c:crossBetween val="between"/>
      </c:valAx>
    </c:plotArea>
    <c:legend>
      <c:legendPos val="r"/>
      <c:layout>
        <c:manualLayout>
          <c:xMode val="edge"/>
          <c:yMode val="edge"/>
          <c:x val="0.65555778931888864"/>
          <c:y val="0.15045720091440404"/>
          <c:w val="0.33025781351799138"/>
          <c:h val="0.74461010922021842"/>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ru-RU" sz="1200" baseline="0">
                <a:latin typeface="Times New Roman" pitchFamily="18" charset="0"/>
                <a:cs typeface="Times New Roman" pitchFamily="18" charset="0"/>
              </a:rPr>
              <a:t>Середній вік електричного та автомобільного транспорту міста, років</a:t>
            </a:r>
          </a:p>
        </c:rich>
      </c:tx>
      <c:layout>
        <c:manualLayout>
          <c:xMode val="edge"/>
          <c:yMode val="edge"/>
          <c:x val="0.12176072263043636"/>
          <c:y val="3.5333737129013445E-3"/>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3.8186157517899805E-2"/>
          <c:y val="0.23091917634007258"/>
          <c:w val="0.92999204455051765"/>
          <c:h val="0.60660822036421524"/>
        </c:manualLayout>
      </c:layout>
      <c:bar3DChart>
        <c:barDir val="col"/>
        <c:grouping val="clustered"/>
        <c:varyColors val="0"/>
        <c:ser>
          <c:idx val="0"/>
          <c:order val="0"/>
          <c:tx>
            <c:strRef>
              <c:f>Лист1!$B$2</c:f>
              <c:strCache>
                <c:ptCount val="1"/>
                <c:pt idx="0">
                  <c:v>Середній вік електричного та автомобільного транспорту міста, років</c:v>
                </c:pt>
              </c:strCache>
            </c:strRef>
          </c:tx>
          <c:invertIfNegative val="0"/>
          <c:dLbls>
            <c:dLbl>
              <c:idx val="0"/>
              <c:layout>
                <c:manualLayout>
                  <c:x val="1.2728719172633254E-2"/>
                  <c:y val="-1.230769230769230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2728719172633254E-2"/>
                  <c:y val="-3.076923076923079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9093078758949885E-2"/>
                  <c:y val="-1.846153846153876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Лист1!$B$3:$B$5</c:f>
              <c:strCache>
                <c:ptCount val="3"/>
                <c:pt idx="0">
                  <c:v>Трамваї</c:v>
                </c:pt>
                <c:pt idx="1">
                  <c:v>Тролейбуси</c:v>
                </c:pt>
                <c:pt idx="2">
                  <c:v>Маршрутки</c:v>
                </c:pt>
              </c:strCache>
            </c:strRef>
          </c:cat>
          <c:val>
            <c:numRef>
              <c:f>Лист1!$C$3:$C$5</c:f>
              <c:numCache>
                <c:formatCode>General</c:formatCode>
                <c:ptCount val="3"/>
                <c:pt idx="0">
                  <c:v>32</c:v>
                </c:pt>
                <c:pt idx="1">
                  <c:v>24</c:v>
                </c:pt>
                <c:pt idx="2">
                  <c:v>6</c:v>
                </c:pt>
              </c:numCache>
            </c:numRef>
          </c:val>
        </c:ser>
        <c:dLbls>
          <c:showLegendKey val="0"/>
          <c:showVal val="0"/>
          <c:showCatName val="0"/>
          <c:showSerName val="0"/>
          <c:showPercent val="0"/>
          <c:showBubbleSize val="0"/>
        </c:dLbls>
        <c:gapWidth val="150"/>
        <c:shape val="cylinder"/>
        <c:axId val="502509664"/>
        <c:axId val="502499080"/>
        <c:axId val="0"/>
      </c:bar3DChart>
      <c:catAx>
        <c:axId val="502509664"/>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499080"/>
        <c:crosses val="autoZero"/>
        <c:auto val="1"/>
        <c:lblAlgn val="ctr"/>
        <c:lblOffset val="100"/>
        <c:noMultiLvlLbl val="0"/>
      </c:catAx>
      <c:valAx>
        <c:axId val="502499080"/>
        <c:scaling>
          <c:orientation val="minMax"/>
        </c:scaling>
        <c:delete val="1"/>
        <c:axPos val="l"/>
        <c:numFmt formatCode="General" sourceLinked="1"/>
        <c:majorTickMark val="out"/>
        <c:minorTickMark val="none"/>
        <c:tickLblPos val="none"/>
        <c:crossAx val="502509664"/>
        <c:crosses val="autoZero"/>
        <c:crossBetween val="between"/>
      </c:valAx>
    </c:plotArea>
    <c:plotVisOnly val="1"/>
    <c:dispBlanksAs val="gap"/>
    <c:showDLblsOverMax val="0"/>
  </c:chart>
  <c:spPr>
    <a:ln>
      <a:noFill/>
    </a:ln>
  </c:spPr>
  <c:externalData r:id="rId2">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Структура перевезення пасажирів за видами транспорту, млн.осіб</a:t>
            </a:r>
          </a:p>
        </c:rich>
      </c:tx>
      <c:layout>
        <c:manualLayout>
          <c:xMode val="edge"/>
          <c:yMode val="edge"/>
          <c:x val="0.13285505124450867"/>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25435561038032767"/>
          <c:y val="0.21015452538631338"/>
          <c:w val="0.45259173862417973"/>
          <c:h val="0.74128035320089125"/>
        </c:manualLayout>
      </c:layout>
      <c:bar3DChart>
        <c:barDir val="bar"/>
        <c:grouping val="clustered"/>
        <c:varyColors val="0"/>
        <c:ser>
          <c:idx val="0"/>
          <c:order val="0"/>
          <c:tx>
            <c:strRef>
              <c:f>Лист1!$B$53</c:f>
              <c:strCache>
                <c:ptCount val="1"/>
                <c:pt idx="0">
                  <c:v>Автомобільний транспорт</c:v>
                </c:pt>
              </c:strCache>
            </c:strRef>
          </c:tx>
          <c:invertIfNegative val="0"/>
          <c:dLbls>
            <c:dLbl>
              <c:idx val="3"/>
              <c:layout>
                <c:manualLayout>
                  <c:x val="5.5671537926236638E-3"/>
                  <c:y val="-3.956478733926805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Лист1!$C$52:$F$52</c:f>
              <c:strCache>
                <c:ptCount val="4"/>
                <c:pt idx="0">
                  <c:v>2014 рік</c:v>
                </c:pt>
                <c:pt idx="1">
                  <c:v>2015 рік</c:v>
                </c:pt>
                <c:pt idx="2">
                  <c:v>2016 рік</c:v>
                </c:pt>
                <c:pt idx="3">
                  <c:v>8 міс. 2017 року </c:v>
                </c:pt>
              </c:strCache>
            </c:strRef>
          </c:cat>
          <c:val>
            <c:numRef>
              <c:f>Лист1!$C$53:$F$53</c:f>
              <c:numCache>
                <c:formatCode>0.0</c:formatCode>
                <c:ptCount val="4"/>
                <c:pt idx="0" formatCode="General">
                  <c:v>33.200000000000003</c:v>
                </c:pt>
                <c:pt idx="1">
                  <c:v>37</c:v>
                </c:pt>
                <c:pt idx="2" formatCode="General">
                  <c:v>34.800000000000004</c:v>
                </c:pt>
                <c:pt idx="3" formatCode="General">
                  <c:v>21.3</c:v>
                </c:pt>
              </c:numCache>
            </c:numRef>
          </c:val>
        </c:ser>
        <c:ser>
          <c:idx val="1"/>
          <c:order val="1"/>
          <c:tx>
            <c:strRef>
              <c:f>Лист1!$B$54</c:f>
              <c:strCache>
                <c:ptCount val="1"/>
                <c:pt idx="0">
                  <c:v>Тролейбус</c:v>
                </c:pt>
              </c:strCache>
            </c:strRef>
          </c:tx>
          <c:spPr>
            <a:solidFill>
              <a:schemeClr val="accent2">
                <a:lumMod val="60000"/>
                <a:lumOff val="40000"/>
              </a:schemeClr>
            </a:solidFill>
          </c:spPr>
          <c:invertIfNegative val="0"/>
          <c:dLbls>
            <c:dLbl>
              <c:idx val="0"/>
              <c:layout>
                <c:manualLayout>
                  <c:x val="2.7835768963118167E-3"/>
                  <c:y val="-1.624365482233506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
                  <c:y val="-1.978239366963429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
                  <c:y val="-2.7695351137487636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3917884481558803E-2"/>
                  <c:y val="-1.58259149357072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Лист1!$C$52:$F$52</c:f>
              <c:strCache>
                <c:ptCount val="4"/>
                <c:pt idx="0">
                  <c:v>2014 рік</c:v>
                </c:pt>
                <c:pt idx="1">
                  <c:v>2015 рік</c:v>
                </c:pt>
                <c:pt idx="2">
                  <c:v>2016 рік</c:v>
                </c:pt>
                <c:pt idx="3">
                  <c:v>8 міс. 2017 року </c:v>
                </c:pt>
              </c:strCache>
            </c:strRef>
          </c:cat>
          <c:val>
            <c:numRef>
              <c:f>Лист1!$C$54:$F$54</c:f>
              <c:numCache>
                <c:formatCode>General</c:formatCode>
                <c:ptCount val="4"/>
                <c:pt idx="0">
                  <c:v>33.200000000000003</c:v>
                </c:pt>
                <c:pt idx="1">
                  <c:v>36.5</c:v>
                </c:pt>
                <c:pt idx="2">
                  <c:v>36.800000000000004</c:v>
                </c:pt>
                <c:pt idx="3" formatCode="0.0">
                  <c:v>28.1</c:v>
                </c:pt>
              </c:numCache>
            </c:numRef>
          </c:val>
        </c:ser>
        <c:ser>
          <c:idx val="2"/>
          <c:order val="2"/>
          <c:tx>
            <c:strRef>
              <c:f>Лист1!$B$55</c:f>
              <c:strCache>
                <c:ptCount val="1"/>
                <c:pt idx="0">
                  <c:v>Трамвай</c:v>
                </c:pt>
              </c:strCache>
            </c:strRef>
          </c:tx>
          <c:invertIfNegative val="0"/>
          <c:dLbls>
            <c:dLbl>
              <c:idx val="0"/>
              <c:layout>
                <c:manualLayout>
                  <c:x val="8.3507306889354788E-3"/>
                  <c:y val="-1.186943620178058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5.5671537926236022E-3"/>
                  <c:y val="-1.58259149357072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
                  <c:y val="-1.582591493570722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0"/>
                  <c:y val="-1.978239366963429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Лист1!$C$52:$F$52</c:f>
              <c:strCache>
                <c:ptCount val="4"/>
                <c:pt idx="0">
                  <c:v>2014 рік</c:v>
                </c:pt>
                <c:pt idx="1">
                  <c:v>2015 рік</c:v>
                </c:pt>
                <c:pt idx="2">
                  <c:v>2016 рік</c:v>
                </c:pt>
                <c:pt idx="3">
                  <c:v>8 міс. 2017 року </c:v>
                </c:pt>
              </c:strCache>
            </c:strRef>
          </c:cat>
          <c:val>
            <c:numRef>
              <c:f>Лист1!$C$55:$F$55</c:f>
              <c:numCache>
                <c:formatCode>General</c:formatCode>
                <c:ptCount val="4"/>
                <c:pt idx="0">
                  <c:v>7.8</c:v>
                </c:pt>
                <c:pt idx="1">
                  <c:v>7.8</c:v>
                </c:pt>
                <c:pt idx="2">
                  <c:v>7.6</c:v>
                </c:pt>
                <c:pt idx="3">
                  <c:v>5.0999999999999996</c:v>
                </c:pt>
              </c:numCache>
            </c:numRef>
          </c:val>
        </c:ser>
        <c:dLbls>
          <c:showLegendKey val="0"/>
          <c:showVal val="0"/>
          <c:showCatName val="0"/>
          <c:showSerName val="0"/>
          <c:showPercent val="0"/>
          <c:showBubbleSize val="0"/>
        </c:dLbls>
        <c:gapWidth val="150"/>
        <c:shape val="box"/>
        <c:axId val="502499472"/>
        <c:axId val="502499864"/>
        <c:axId val="0"/>
      </c:bar3DChart>
      <c:catAx>
        <c:axId val="502499472"/>
        <c:scaling>
          <c:orientation val="minMax"/>
        </c:scaling>
        <c:delete val="0"/>
        <c:axPos val="l"/>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502499864"/>
        <c:crosses val="autoZero"/>
        <c:auto val="1"/>
        <c:lblAlgn val="ctr"/>
        <c:lblOffset val="100"/>
        <c:noMultiLvlLbl val="0"/>
      </c:catAx>
      <c:valAx>
        <c:axId val="502499864"/>
        <c:scaling>
          <c:orientation val="minMax"/>
        </c:scaling>
        <c:delete val="1"/>
        <c:axPos val="b"/>
        <c:numFmt formatCode="General" sourceLinked="1"/>
        <c:majorTickMark val="out"/>
        <c:minorTickMark val="none"/>
        <c:tickLblPos val="none"/>
        <c:crossAx val="502499472"/>
        <c:crosses val="autoZero"/>
        <c:crossBetween val="between"/>
      </c:valAx>
      <c:spPr>
        <a:noFill/>
        <a:ln w="25400">
          <a:noFill/>
        </a:ln>
      </c:spPr>
    </c:plotArea>
    <c:legend>
      <c:legendPos val="r"/>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Лист1!$A$6</c:f>
              <c:strCache>
                <c:ptCount val="1"/>
                <c:pt idx="0">
                  <c:v>Кількість ОСББ, що скористалися програмою, од</c:v>
                </c:pt>
              </c:strCache>
            </c:strRef>
          </c:tx>
          <c:spPr>
            <a:solidFill>
              <a:schemeClr val="accent1"/>
            </a:solidFill>
            <a:ln>
              <a:noFill/>
            </a:ln>
            <a:effectLst/>
            <a:sp3d/>
          </c:spPr>
          <c:invertIfNegative val="0"/>
          <c:dLbls>
            <c:dLbl>
              <c:idx val="0"/>
              <c:layout>
                <c:manualLayout>
                  <c:x val="2.2222222222222195E-2"/>
                  <c:y val="-3.240740740740740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9444444444444393E-2"/>
                  <c:y val="-3.2407407407407406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6666666666666666E-2"/>
                  <c:y val="-4.166666666666666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Лист1!$B$5:$D$5</c:f>
              <c:strCache>
                <c:ptCount val="3"/>
                <c:pt idx="0">
                  <c:v>2015 рік </c:v>
                </c:pt>
                <c:pt idx="1">
                  <c:v>2016 рік</c:v>
                </c:pt>
                <c:pt idx="2">
                  <c:v>2017 рік</c:v>
                </c:pt>
              </c:strCache>
            </c:strRef>
          </c:cat>
          <c:val>
            <c:numRef>
              <c:f>Лист1!$B$6:$D$6</c:f>
              <c:numCache>
                <c:formatCode>General</c:formatCode>
                <c:ptCount val="3"/>
                <c:pt idx="0">
                  <c:v>3</c:v>
                </c:pt>
                <c:pt idx="1">
                  <c:v>8</c:v>
                </c:pt>
                <c:pt idx="2">
                  <c:v>23</c:v>
                </c:pt>
              </c:numCache>
            </c:numRef>
          </c:val>
        </c:ser>
        <c:ser>
          <c:idx val="1"/>
          <c:order val="1"/>
          <c:tx>
            <c:strRef>
              <c:f>Лист1!$A$7</c:f>
              <c:strCache>
                <c:ptCount val="1"/>
                <c:pt idx="0">
                  <c:v>Загальна вартість оформлених "теплих" кредитів, млн.грн.</c:v>
                </c:pt>
              </c:strCache>
            </c:strRef>
          </c:tx>
          <c:spPr>
            <a:solidFill>
              <a:schemeClr val="accent3"/>
            </a:solidFill>
            <a:ln>
              <a:noFill/>
            </a:ln>
            <a:effectLst/>
            <a:sp3d/>
          </c:spPr>
          <c:invertIfNegative val="0"/>
          <c:dLbls>
            <c:dLbl>
              <c:idx val="0"/>
              <c:layout>
                <c:manualLayout>
                  <c:x val="1.1111111111111112E-2"/>
                  <c:y val="-3.703703703703703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222222222222223E-2"/>
                  <c:y val="-2.777777777777786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222222222222119E-2"/>
                  <c:y val="-2.314814814814814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Лист1!$B$5:$D$5</c:f>
              <c:strCache>
                <c:ptCount val="3"/>
                <c:pt idx="0">
                  <c:v>2015 рік </c:v>
                </c:pt>
                <c:pt idx="1">
                  <c:v>2016 рік</c:v>
                </c:pt>
                <c:pt idx="2">
                  <c:v>2017 рік</c:v>
                </c:pt>
              </c:strCache>
            </c:strRef>
          </c:cat>
          <c:val>
            <c:numRef>
              <c:f>Лист1!$B$7:$D$7</c:f>
              <c:numCache>
                <c:formatCode>General</c:formatCode>
                <c:ptCount val="3"/>
                <c:pt idx="0">
                  <c:v>0.3</c:v>
                </c:pt>
                <c:pt idx="1">
                  <c:v>2.4</c:v>
                </c:pt>
                <c:pt idx="2">
                  <c:v>3.8</c:v>
                </c:pt>
              </c:numCache>
            </c:numRef>
          </c:val>
        </c:ser>
        <c:dLbls>
          <c:showLegendKey val="0"/>
          <c:showVal val="0"/>
          <c:showCatName val="0"/>
          <c:showSerName val="0"/>
          <c:showPercent val="0"/>
          <c:showBubbleSize val="0"/>
        </c:dLbls>
        <c:gapWidth val="150"/>
        <c:shape val="box"/>
        <c:axId val="502500648"/>
        <c:axId val="502501040"/>
        <c:axId val="0"/>
      </c:bar3DChart>
      <c:catAx>
        <c:axId val="50250064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ru-RU"/>
          </a:p>
        </c:txPr>
        <c:crossAx val="502501040"/>
        <c:crosses val="autoZero"/>
        <c:auto val="1"/>
        <c:lblAlgn val="ctr"/>
        <c:lblOffset val="100"/>
        <c:noMultiLvlLbl val="0"/>
      </c:catAx>
      <c:valAx>
        <c:axId val="502501040"/>
        <c:scaling>
          <c:orientation val="minMax"/>
        </c:scaling>
        <c:delete val="1"/>
        <c:axPos val="l"/>
        <c:numFmt formatCode="General" sourceLinked="1"/>
        <c:majorTickMark val="none"/>
        <c:minorTickMark val="none"/>
        <c:tickLblPos val="nextTo"/>
        <c:crossAx val="5025006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uk-UA" sz="1200">
                <a:latin typeface="Times New Roman" pitchFamily="18" charset="0"/>
                <a:cs typeface="Times New Roman" pitchFamily="18" charset="0"/>
              </a:rPr>
              <a:t>Середньооблікова</a:t>
            </a:r>
            <a:r>
              <a:rPr lang="uk-UA" sz="1200" baseline="0">
                <a:latin typeface="Times New Roman" pitchFamily="18" charset="0"/>
                <a:cs typeface="Times New Roman" pitchFamily="18" charset="0"/>
              </a:rPr>
              <a:t> кількість штатних працівників підприємств, установ, організацій, тис. осіб</a:t>
            </a:r>
            <a:endParaRPr lang="uk-UA" sz="1200">
              <a:latin typeface="Times New Roman" pitchFamily="18" charset="0"/>
              <a:cs typeface="Times New Roman" pitchFamily="18" charset="0"/>
            </a:endParaRPr>
          </a:p>
        </c:rich>
      </c:tx>
      <c:overlay val="0"/>
    </c:title>
    <c:autoTitleDeleted val="0"/>
    <c:plotArea>
      <c:layout>
        <c:manualLayout>
          <c:layoutTarget val="inner"/>
          <c:xMode val="edge"/>
          <c:yMode val="edge"/>
          <c:x val="4.2512077294687034E-2"/>
          <c:y val="0.48172043010752691"/>
          <c:w val="0.91497584541062804"/>
          <c:h val="0.33124423963133626"/>
        </c:manualLayout>
      </c:layout>
      <c:lineChart>
        <c:grouping val="standard"/>
        <c:varyColors val="0"/>
        <c:ser>
          <c:idx val="0"/>
          <c:order val="0"/>
          <c:spPr>
            <a:ln w="31750"/>
          </c:spPr>
          <c:dLbls>
            <c:dLbl>
              <c:idx val="0"/>
              <c:layout>
                <c:manualLayout>
                  <c:x val="8.3333333333333558E-3"/>
                  <c:y val="-4.1666666666666692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9444444444444445E-2"/>
                  <c:y val="-7.870370370370390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5000000000000046E-2"/>
                  <c:y val="-5.555555555555545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5000000000000046E-2"/>
                  <c:y val="-6.018518518518526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Лист1!$A$103:$A$106</c:f>
              <c:strCache>
                <c:ptCount val="4"/>
                <c:pt idx="0">
                  <c:v>2014 рік </c:v>
                </c:pt>
                <c:pt idx="1">
                  <c:v>2015 рік</c:v>
                </c:pt>
                <c:pt idx="2">
                  <c:v>2016 рік</c:v>
                </c:pt>
                <c:pt idx="3">
                  <c:v>6 міс 2017 року</c:v>
                </c:pt>
              </c:strCache>
            </c:strRef>
          </c:cat>
          <c:val>
            <c:numRef>
              <c:f>Лист1!$B$103:$B$106</c:f>
              <c:numCache>
                <c:formatCode>General</c:formatCode>
                <c:ptCount val="4"/>
                <c:pt idx="0">
                  <c:v>83.8</c:v>
                </c:pt>
                <c:pt idx="1">
                  <c:v>79.900000000000006</c:v>
                </c:pt>
                <c:pt idx="2">
                  <c:v>78.7</c:v>
                </c:pt>
                <c:pt idx="3">
                  <c:v>75.3</c:v>
                </c:pt>
              </c:numCache>
            </c:numRef>
          </c:val>
          <c:smooth val="0"/>
        </c:ser>
        <c:dLbls>
          <c:showLegendKey val="0"/>
          <c:showVal val="0"/>
          <c:showCatName val="0"/>
          <c:showSerName val="0"/>
          <c:showPercent val="0"/>
          <c:showBubbleSize val="0"/>
        </c:dLbls>
        <c:marker val="1"/>
        <c:smooth val="0"/>
        <c:axId val="502502608"/>
        <c:axId val="502503000"/>
      </c:lineChart>
      <c:catAx>
        <c:axId val="502502608"/>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503000"/>
        <c:crosses val="autoZero"/>
        <c:auto val="1"/>
        <c:lblAlgn val="ctr"/>
        <c:lblOffset val="100"/>
        <c:noMultiLvlLbl val="0"/>
      </c:catAx>
      <c:valAx>
        <c:axId val="502503000"/>
        <c:scaling>
          <c:orientation val="minMax"/>
        </c:scaling>
        <c:delete val="1"/>
        <c:axPos val="l"/>
        <c:majorGridlines>
          <c:spPr>
            <a:ln>
              <a:noFill/>
            </a:ln>
          </c:spPr>
        </c:majorGridlines>
        <c:numFmt formatCode="General" sourceLinked="1"/>
        <c:majorTickMark val="out"/>
        <c:minorTickMark val="none"/>
        <c:tickLblPos val="none"/>
        <c:crossAx val="502502608"/>
        <c:crosses val="autoZero"/>
        <c:crossBetween val="between"/>
      </c:valAx>
    </c:plotArea>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uk-UA" sz="1200">
                <a:latin typeface="Times New Roman" pitchFamily="18" charset="0"/>
                <a:cs typeface="Times New Roman" pitchFamily="18" charset="0"/>
              </a:rPr>
              <a:t>Структура</a:t>
            </a:r>
            <a:r>
              <a:rPr lang="uk-UA" sz="1200" baseline="0">
                <a:latin typeface="Times New Roman" pitchFamily="18" charset="0"/>
                <a:cs typeface="Times New Roman" pitchFamily="18" charset="0"/>
              </a:rPr>
              <a:t> експорту товарів, %</a:t>
            </a:r>
            <a:endParaRPr lang="uk-UA" sz="1200">
              <a:latin typeface="Times New Roman" pitchFamily="18" charset="0"/>
              <a:cs typeface="Times New Roman" pitchFamily="18" charset="0"/>
            </a:endParaRPr>
          </a:p>
        </c:rich>
      </c:tx>
      <c:layout>
        <c:manualLayout>
          <c:xMode val="edge"/>
          <c:yMode val="edge"/>
          <c:x val="0.23432515337423321"/>
          <c:y val="0"/>
        </c:manualLayout>
      </c:layout>
      <c:overlay val="0"/>
    </c:title>
    <c:autoTitleDeleted val="0"/>
    <c:plotArea>
      <c:layout/>
      <c:doughnutChart>
        <c:varyColors val="1"/>
        <c:ser>
          <c:idx val="0"/>
          <c:order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Лист1!$A$238:$A$243</c:f>
              <c:strCache>
                <c:ptCount val="6"/>
                <c:pt idx="0">
                  <c:v>Продукти рослинного походження</c:v>
                </c:pt>
                <c:pt idx="1">
                  <c:v>Недорогоцінні метали</c:v>
                </c:pt>
                <c:pt idx="2">
                  <c:v>Деревина</c:v>
                </c:pt>
                <c:pt idx="3">
                  <c:v>Вироби з каменю, гіпсу, цементу</c:v>
                </c:pt>
                <c:pt idx="4">
                  <c:v>Текстильні матеріали, вироби</c:v>
                </c:pt>
                <c:pt idx="5">
                  <c:v>Машини, обладнання, механізми</c:v>
                </c:pt>
              </c:strCache>
            </c:strRef>
          </c:cat>
          <c:val>
            <c:numRef>
              <c:f>Лист1!$B$238:$B$243</c:f>
              <c:numCache>
                <c:formatCode>0.0</c:formatCode>
                <c:ptCount val="6"/>
                <c:pt idx="0" formatCode="General">
                  <c:v>29.9</c:v>
                </c:pt>
                <c:pt idx="1">
                  <c:v>18</c:v>
                </c:pt>
                <c:pt idx="2">
                  <c:v>12</c:v>
                </c:pt>
                <c:pt idx="3" formatCode="General">
                  <c:v>7.3</c:v>
                </c:pt>
                <c:pt idx="4" formatCode="General">
                  <c:v>6.3</c:v>
                </c:pt>
                <c:pt idx="5" formatCode="General">
                  <c:v>5.0999999999999996</c:v>
                </c:pt>
              </c:numCache>
            </c:numRef>
          </c:val>
        </c:ser>
        <c:dLbls>
          <c:showLegendKey val="0"/>
          <c:showVal val="0"/>
          <c:showCatName val="0"/>
          <c:showSerName val="0"/>
          <c:showPercent val="0"/>
          <c:showBubbleSize val="0"/>
          <c:showLeaderLines val="1"/>
        </c:dLbls>
        <c:firstSliceAng val="0"/>
        <c:holeSize val="50"/>
      </c:doughnutChart>
    </c:plotArea>
    <c:legend>
      <c:legendPos val="r"/>
      <c:layout>
        <c:manualLayout>
          <c:xMode val="edge"/>
          <c:yMode val="edge"/>
          <c:x val="0.6540846456692998"/>
          <c:y val="0.1303532503003535"/>
          <c:w val="0.3343815394116505"/>
          <c:h val="0.8008128016256032"/>
        </c:manualLayout>
      </c:layout>
      <c:overlay val="0"/>
      <c:txPr>
        <a:bodyPr/>
        <a:lstStyle/>
        <a:p>
          <a:pPr>
            <a:defRPr>
              <a:latin typeface="Times New Roman" pitchFamily="18" charset="0"/>
              <a:cs typeface="Times New Roman" pitchFamily="18" charset="0"/>
            </a:defRPr>
          </a:pPr>
          <a:endParaRPr lang="ru-RU"/>
        </a:p>
      </c:txPr>
    </c:legend>
    <c:plotVisOnly val="1"/>
    <c:dispBlanksAs val="zero"/>
    <c:showDLblsOverMax val="0"/>
  </c:chart>
  <c:spPr>
    <a:ln>
      <a:noFill/>
    </a:ln>
  </c:spPr>
  <c:externalData r:id="rId2">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latin typeface="Times New Roman" pitchFamily="18" charset="0"/>
                <a:cs typeface="Times New Roman" pitchFamily="18" charset="0"/>
              </a:defRPr>
            </a:pPr>
            <a:r>
              <a:rPr lang="ru-RU" sz="1200">
                <a:latin typeface="Times New Roman" pitchFamily="18" charset="0"/>
                <a:cs typeface="Times New Roman" pitchFamily="18" charset="0"/>
              </a:rPr>
              <a:t>Кількість вільних вакансій на підприємствах,</a:t>
            </a:r>
            <a:r>
              <a:rPr lang="ru-RU" sz="1200" baseline="0">
                <a:latin typeface="Times New Roman" pitchFamily="18" charset="0"/>
                <a:cs typeface="Times New Roman" pitchFamily="18" charset="0"/>
              </a:rPr>
              <a:t> установах, організаціях міста</a:t>
            </a:r>
            <a:r>
              <a:rPr lang="ru-RU" sz="1200">
                <a:latin typeface="Times New Roman" pitchFamily="18" charset="0"/>
                <a:cs typeface="Times New Roman" pitchFamily="18" charset="0"/>
              </a:rPr>
              <a:t>,</a:t>
            </a:r>
            <a:r>
              <a:rPr lang="ru-RU" sz="1200" baseline="0">
                <a:latin typeface="Times New Roman" pitchFamily="18" charset="0"/>
                <a:cs typeface="Times New Roman" pitchFamily="18" charset="0"/>
              </a:rPr>
              <a:t> од.</a:t>
            </a:r>
            <a:endParaRPr lang="ru-RU" sz="1200">
              <a:latin typeface="Times New Roman" pitchFamily="18" charset="0"/>
              <a:cs typeface="Times New Roman" pitchFamily="18" charset="0"/>
            </a:endParaRP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3.0555555555555558E-2"/>
          <c:y val="0.17407407407407408"/>
          <c:w val="0.93888888888888899"/>
          <c:h val="0.68500000000000005"/>
        </c:manualLayout>
      </c:layout>
      <c:bar3DChart>
        <c:barDir val="col"/>
        <c:grouping val="clustered"/>
        <c:varyColors val="0"/>
        <c:ser>
          <c:idx val="0"/>
          <c:order val="0"/>
          <c:invertIfNegative val="0"/>
          <c:dLbls>
            <c:dLbl>
              <c:idx val="0"/>
              <c:layout>
                <c:manualLayout>
                  <c:x val="1.3888888888888892E-2"/>
                  <c:y val="-1.851851851851852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66666666666667E-2"/>
                  <c:y val="-1.851888305628463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666666666666667E-2"/>
                  <c:y val="-2.7777777777777877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6666666666666569E-2"/>
                  <c:y val="-2.777777777777770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Лист1!$A$225:$A$228</c:f>
              <c:strCache>
                <c:ptCount val="4"/>
                <c:pt idx="0">
                  <c:v>2014 рік</c:v>
                </c:pt>
                <c:pt idx="1">
                  <c:v>2015 рік</c:v>
                </c:pt>
                <c:pt idx="2">
                  <c:v>2016 рік</c:v>
                </c:pt>
                <c:pt idx="3">
                  <c:v>9 міс.2017 року</c:v>
                </c:pt>
              </c:strCache>
            </c:strRef>
          </c:cat>
          <c:val>
            <c:numRef>
              <c:f>Лист1!$B$225:$B$228</c:f>
              <c:numCache>
                <c:formatCode>General</c:formatCode>
                <c:ptCount val="4"/>
                <c:pt idx="0">
                  <c:v>635</c:v>
                </c:pt>
                <c:pt idx="1">
                  <c:v>379</c:v>
                </c:pt>
                <c:pt idx="2">
                  <c:v>582</c:v>
                </c:pt>
                <c:pt idx="3">
                  <c:v>1147</c:v>
                </c:pt>
              </c:numCache>
            </c:numRef>
          </c:val>
        </c:ser>
        <c:dLbls>
          <c:showLegendKey val="0"/>
          <c:showVal val="0"/>
          <c:showCatName val="0"/>
          <c:showSerName val="0"/>
          <c:showPercent val="0"/>
          <c:showBubbleSize val="0"/>
        </c:dLbls>
        <c:gapWidth val="150"/>
        <c:shape val="box"/>
        <c:axId val="502504176"/>
        <c:axId val="502504568"/>
        <c:axId val="0"/>
      </c:bar3DChart>
      <c:catAx>
        <c:axId val="502504176"/>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504568"/>
        <c:crosses val="autoZero"/>
        <c:auto val="1"/>
        <c:lblAlgn val="ctr"/>
        <c:lblOffset val="100"/>
        <c:noMultiLvlLbl val="0"/>
      </c:catAx>
      <c:valAx>
        <c:axId val="502504568"/>
        <c:scaling>
          <c:orientation val="minMax"/>
        </c:scaling>
        <c:delete val="1"/>
        <c:axPos val="l"/>
        <c:numFmt formatCode="General" sourceLinked="1"/>
        <c:majorTickMark val="out"/>
        <c:minorTickMark val="none"/>
        <c:tickLblPos val="none"/>
        <c:crossAx val="502504176"/>
        <c:crosses val="autoZero"/>
        <c:crossBetween val="between"/>
      </c:valAx>
    </c:plotArea>
    <c:plotVisOnly val="1"/>
    <c:dispBlanksAs val="gap"/>
    <c:showDLblsOverMax val="0"/>
  </c:chart>
  <c:spPr>
    <a:ln>
      <a:noFill/>
    </a:ln>
  </c:spPr>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uk-UA" sz="1200">
                <a:latin typeface="Times New Roman" pitchFamily="18" charset="0"/>
                <a:cs typeface="Times New Roman" pitchFamily="18" charset="0"/>
              </a:rPr>
              <a:t>Середньомісячна</a:t>
            </a:r>
            <a:r>
              <a:rPr lang="uk-UA" sz="1200" baseline="0">
                <a:latin typeface="Times New Roman" pitchFamily="18" charset="0"/>
                <a:cs typeface="Times New Roman" pitchFamily="18" charset="0"/>
              </a:rPr>
              <a:t> заробітна плата, грн. </a:t>
            </a:r>
            <a:endParaRPr lang="uk-UA" sz="1200">
              <a:latin typeface="Times New Roman" pitchFamily="18" charset="0"/>
              <a:cs typeface="Times New Roman" pitchFamily="18" charset="0"/>
            </a:endParaRPr>
          </a:p>
        </c:rich>
      </c:tx>
      <c:overlay val="0"/>
    </c:title>
    <c:autoTitleDeleted val="0"/>
    <c:view3D>
      <c:rotX val="15"/>
      <c:rotY val="20"/>
      <c:depthPercent val="100"/>
      <c:rAngAx val="1"/>
    </c:view3D>
    <c:floor>
      <c:thickness val="0"/>
    </c:floor>
    <c:sideWall>
      <c:thickness val="0"/>
      <c:spPr>
        <a:noFill/>
      </c:spPr>
    </c:sideWall>
    <c:backWall>
      <c:thickness val="0"/>
      <c:spPr>
        <a:noFill/>
      </c:spPr>
    </c:backWall>
    <c:plotArea>
      <c:layout>
        <c:manualLayout>
          <c:layoutTarget val="inner"/>
          <c:xMode val="edge"/>
          <c:yMode val="edge"/>
          <c:x val="0.2980484401475133"/>
          <c:y val="0.23842293906810041"/>
          <c:w val="0.70195155985248681"/>
          <c:h val="0.70900836320191152"/>
        </c:manualLayout>
      </c:layout>
      <c:bar3DChart>
        <c:barDir val="bar"/>
        <c:grouping val="clustered"/>
        <c:varyColors val="0"/>
        <c:ser>
          <c:idx val="0"/>
          <c:order val="0"/>
          <c:spPr>
            <a:ln w="28575">
              <a:noFill/>
            </a:ln>
          </c:spPr>
          <c:invertIfNegative val="0"/>
          <c:dLbls>
            <c:dLbl>
              <c:idx val="0"/>
              <c:layout>
                <c:manualLayout>
                  <c:x val="3.0555555555555596E-2"/>
                  <c:y val="0"/>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000000000000012E-2"/>
                  <c:y val="-1.388888888888920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3333333333333354E-2"/>
                  <c:y val="-9.2592592592595224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5000000000000012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Лист1!$A$92:$A$95</c:f>
              <c:strCache>
                <c:ptCount val="4"/>
                <c:pt idx="0">
                  <c:v>2014 рік </c:v>
                </c:pt>
                <c:pt idx="1">
                  <c:v>2015 рік</c:v>
                </c:pt>
                <c:pt idx="2">
                  <c:v>2016 рік</c:v>
                </c:pt>
                <c:pt idx="3">
                  <c:v>6 міс 2017 рік</c:v>
                </c:pt>
              </c:strCache>
            </c:strRef>
          </c:cat>
          <c:val>
            <c:numRef>
              <c:f>Лист1!$B$92:$B$95</c:f>
              <c:numCache>
                <c:formatCode>0.0</c:formatCode>
                <c:ptCount val="4"/>
                <c:pt idx="0">
                  <c:v>3008</c:v>
                </c:pt>
                <c:pt idx="1">
                  <c:v>3495</c:v>
                </c:pt>
                <c:pt idx="2">
                  <c:v>4333</c:v>
                </c:pt>
                <c:pt idx="3">
                  <c:v>6102</c:v>
                </c:pt>
              </c:numCache>
            </c:numRef>
          </c:val>
        </c:ser>
        <c:dLbls>
          <c:showLegendKey val="0"/>
          <c:showVal val="0"/>
          <c:showCatName val="0"/>
          <c:showSerName val="0"/>
          <c:showPercent val="0"/>
          <c:showBubbleSize val="0"/>
        </c:dLbls>
        <c:gapWidth val="150"/>
        <c:shape val="cylinder"/>
        <c:axId val="502514760"/>
        <c:axId val="502516720"/>
        <c:axId val="0"/>
      </c:bar3DChart>
      <c:catAx>
        <c:axId val="502514760"/>
        <c:scaling>
          <c:orientation val="minMax"/>
        </c:scaling>
        <c:delete val="0"/>
        <c:axPos val="l"/>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516720"/>
        <c:crosses val="autoZero"/>
        <c:auto val="1"/>
        <c:lblAlgn val="ctr"/>
        <c:lblOffset val="100"/>
        <c:noMultiLvlLbl val="0"/>
      </c:catAx>
      <c:valAx>
        <c:axId val="502516720"/>
        <c:scaling>
          <c:orientation val="minMax"/>
        </c:scaling>
        <c:delete val="1"/>
        <c:axPos val="b"/>
        <c:majorGridlines>
          <c:spPr>
            <a:ln>
              <a:noFill/>
            </a:ln>
          </c:spPr>
        </c:majorGridlines>
        <c:numFmt formatCode="0.0" sourceLinked="1"/>
        <c:majorTickMark val="out"/>
        <c:minorTickMark val="none"/>
        <c:tickLblPos val="none"/>
        <c:crossAx val="502514760"/>
        <c:crosses val="autoZero"/>
        <c:crossBetween val="between"/>
      </c:valAx>
    </c:plotArea>
    <c:plotVisOnly val="1"/>
    <c:dispBlanksAs val="gap"/>
    <c:showDLblsOverMax val="0"/>
  </c:chart>
  <c:spPr>
    <a:ln>
      <a:noFill/>
    </a:ln>
  </c:sp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Заборгованість</a:t>
            </a:r>
            <a:r>
              <a:rPr lang="ru-RU" sz="1200" baseline="0">
                <a:latin typeface="Times New Roman" pitchFamily="18" charset="0"/>
                <a:cs typeface="Times New Roman" pitchFamily="18" charset="0"/>
              </a:rPr>
              <a:t> із заробітної плати, млн.грн.</a:t>
            </a:r>
            <a:endParaRPr lang="ru-RU" sz="1200">
              <a:latin typeface="Times New Roman" pitchFamily="18" charset="0"/>
              <a:cs typeface="Times New Roman" pitchFamily="18" charset="0"/>
            </a:endParaRP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3.5171862509992012E-2"/>
          <c:y val="0.31526066350711385"/>
          <c:w val="0.92965627498001602"/>
          <c:h val="0.49238546603476357"/>
        </c:manualLayout>
      </c:layout>
      <c:bar3DChart>
        <c:barDir val="col"/>
        <c:grouping val="clustered"/>
        <c:varyColors val="0"/>
        <c:ser>
          <c:idx val="0"/>
          <c:order val="0"/>
          <c:invertIfNegative val="0"/>
          <c:dLbls>
            <c:dLbl>
              <c:idx val="0"/>
              <c:layout>
                <c:manualLayout>
                  <c:x val="0"/>
                  <c:y val="-2.77777777777786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7777777777778755E-3"/>
                  <c:y val="-2.77777777777786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
                  <c:y val="-3.2407407407408079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0"/>
                  <c:y val="-1.851851851851858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Лист1!$B$4:$E$4</c:f>
              <c:strCache>
                <c:ptCount val="4"/>
                <c:pt idx="0">
                  <c:v>2014 рік</c:v>
                </c:pt>
                <c:pt idx="1">
                  <c:v>2015 рік</c:v>
                </c:pt>
                <c:pt idx="2">
                  <c:v>2016 рік</c:v>
                </c:pt>
                <c:pt idx="3">
                  <c:v>9 міс. 2017 року</c:v>
                </c:pt>
              </c:strCache>
            </c:strRef>
          </c:cat>
          <c:val>
            <c:numRef>
              <c:f>Лист1!$B$5:$E$5</c:f>
              <c:numCache>
                <c:formatCode>General</c:formatCode>
                <c:ptCount val="4"/>
                <c:pt idx="0">
                  <c:v>3.3</c:v>
                </c:pt>
                <c:pt idx="1">
                  <c:v>3.1</c:v>
                </c:pt>
                <c:pt idx="2">
                  <c:v>2.5</c:v>
                </c:pt>
                <c:pt idx="3">
                  <c:v>2.4</c:v>
                </c:pt>
              </c:numCache>
            </c:numRef>
          </c:val>
        </c:ser>
        <c:dLbls>
          <c:showLegendKey val="0"/>
          <c:showVal val="0"/>
          <c:showCatName val="0"/>
          <c:showSerName val="0"/>
          <c:showPercent val="0"/>
          <c:showBubbleSize val="0"/>
        </c:dLbls>
        <c:gapWidth val="150"/>
        <c:shape val="box"/>
        <c:axId val="502520248"/>
        <c:axId val="502515152"/>
        <c:axId val="0"/>
      </c:bar3DChart>
      <c:catAx>
        <c:axId val="502520248"/>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515152"/>
        <c:crosses val="autoZero"/>
        <c:auto val="1"/>
        <c:lblAlgn val="ctr"/>
        <c:lblOffset val="100"/>
        <c:noMultiLvlLbl val="0"/>
      </c:catAx>
      <c:valAx>
        <c:axId val="502515152"/>
        <c:scaling>
          <c:orientation val="minMax"/>
        </c:scaling>
        <c:delete val="1"/>
        <c:axPos val="l"/>
        <c:numFmt formatCode="General" sourceLinked="1"/>
        <c:majorTickMark val="out"/>
        <c:minorTickMark val="none"/>
        <c:tickLblPos val="none"/>
        <c:crossAx val="502520248"/>
        <c:crosses val="autoZero"/>
        <c:crossBetween val="between"/>
      </c:valAx>
    </c:plotArea>
    <c:plotVisOnly val="1"/>
    <c:dispBlanksAs val="gap"/>
    <c:showDLblsOverMax val="0"/>
  </c:chart>
  <c:spPr>
    <a:ln>
      <a:noFill/>
    </a:ln>
  </c:spPr>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latin typeface="Times New Roman" pitchFamily="18" charset="0"/>
                <a:cs typeface="Times New Roman" pitchFamily="18" charset="0"/>
              </a:rPr>
              <a:t>Структура загального боргу з виплати заробітної плати</a:t>
            </a:r>
            <a:r>
              <a:rPr lang="uk-UA" sz="1200">
                <a:latin typeface="Times New Roman" pitchFamily="18" charset="0"/>
                <a:cs typeface="Times New Roman" pitchFamily="18" charset="0"/>
              </a:rPr>
              <a:t>, %</a:t>
            </a:r>
            <a:endParaRPr lang="ru-RU" sz="1200">
              <a:latin typeface="Times New Roman" pitchFamily="18" charset="0"/>
              <a:cs typeface="Times New Roman" pitchFamily="18" charset="0"/>
            </a:endParaRPr>
          </a:p>
        </c:rich>
      </c:tx>
      <c:layout>
        <c:manualLayout>
          <c:xMode val="edge"/>
          <c:yMode val="edge"/>
          <c:x val="0.1439549962796707"/>
          <c:y val="3.1514922910085342E-3"/>
        </c:manualLayout>
      </c:layout>
      <c:overlay val="0"/>
    </c:title>
    <c:autoTitleDeleted val="0"/>
    <c:plotArea>
      <c:layout>
        <c:manualLayout>
          <c:layoutTarget val="inner"/>
          <c:xMode val="edge"/>
          <c:yMode val="edge"/>
          <c:x val="0.10599913328591"/>
          <c:y val="0.23826740220346798"/>
          <c:w val="0.3801048233456828"/>
          <c:h val="0.73062064846684904"/>
        </c:manualLayout>
      </c:layout>
      <c:doughnutChart>
        <c:varyColors val="1"/>
        <c:ser>
          <c:idx val="0"/>
          <c:order val="0"/>
          <c:dPt>
            <c:idx val="1"/>
            <c:bubble3D val="0"/>
            <c:spPr>
              <a:solidFill>
                <a:schemeClr val="accent3"/>
              </a:solidFill>
            </c:spPr>
          </c:dPt>
          <c:dLbls>
            <c:dLbl>
              <c:idx val="0"/>
              <c:layout>
                <c:manualLayout>
                  <c:x val="-0.27831011261859856"/>
                  <c:y val="1.4536596099140375E-2"/>
                </c:manualLayout>
              </c:layout>
              <c:tx>
                <c:rich>
                  <a:bodyPr/>
                  <a:lstStyle/>
                  <a:p>
                    <a:r>
                      <a:rPr lang="en-US"/>
                      <a:t>48,0</a:t>
                    </a:r>
                  </a:p>
                </c:rich>
              </c:tx>
              <c:showLegendKey val="0"/>
              <c:showVal val="1"/>
              <c:showCatName val="0"/>
              <c:showSerName val="0"/>
              <c:showPercent val="0"/>
              <c:showBubbleSize val="0"/>
              <c:extLst>
                <c:ext xmlns:c15="http://schemas.microsoft.com/office/drawing/2012/chart" uri="{CE6537A1-D6FC-4f65-9D91-7224C49458BB}"/>
              </c:extLst>
            </c:dLbl>
            <c:dLbl>
              <c:idx val="1"/>
              <c:layout>
                <c:manualLayout>
                  <c:x val="0.27433724098843076"/>
                  <c:y val="-4.3628648215380254E-2"/>
                </c:manualLayout>
              </c:layout>
              <c:tx>
                <c:rich>
                  <a:bodyPr/>
                  <a:lstStyle/>
                  <a:p>
                    <a:r>
                      <a:rPr lang="en-US"/>
                      <a:t>52,0</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extLst>
          </c:dLbls>
          <c:cat>
            <c:strRef>
              <c:f>Лист1!$B$20:$B$21</c:f>
              <c:strCache>
                <c:ptCount val="2"/>
                <c:pt idx="0">
                  <c:v>ВАТ "Льонотекс"</c:v>
                </c:pt>
                <c:pt idx="1">
                  <c:v>ДП "Поліськгеодезкартографія"</c:v>
                </c:pt>
              </c:strCache>
            </c:strRef>
          </c:cat>
          <c:val>
            <c:numRef>
              <c:f>Лист1!$C$20:$C$21</c:f>
              <c:numCache>
                <c:formatCode>0%</c:formatCode>
                <c:ptCount val="2"/>
                <c:pt idx="0">
                  <c:v>0.48000000000000032</c:v>
                </c:pt>
                <c:pt idx="1">
                  <c:v>0.52</c:v>
                </c:pt>
              </c:numCache>
            </c:numRef>
          </c:val>
        </c:ser>
        <c:dLbls>
          <c:showLegendKey val="0"/>
          <c:showVal val="0"/>
          <c:showCatName val="0"/>
          <c:showSerName val="0"/>
          <c:showPercent val="0"/>
          <c:showBubbleSize val="0"/>
          <c:showLeaderLines val="0"/>
        </c:dLbls>
        <c:firstSliceAng val="0"/>
        <c:holeSize val="50"/>
      </c:doughnutChart>
    </c:plotArea>
    <c:legend>
      <c:legendPos val="r"/>
      <c:layout>
        <c:manualLayout>
          <c:xMode val="edge"/>
          <c:yMode val="edge"/>
          <c:x val="0.64827586206897903"/>
          <c:y val="0.28650412119537688"/>
          <c:w val="0.33610583723763737"/>
          <c:h val="0.53880606333899894"/>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300">
                <a:latin typeface="Times New Roman" pitchFamily="18" charset="0"/>
                <a:cs typeface="Times New Roman" pitchFamily="18" charset="0"/>
              </a:rPr>
              <a:t>Кількість пенсіонерів, осіб</a:t>
            </a:r>
          </a:p>
        </c:rich>
      </c:tx>
      <c:overlay val="0"/>
    </c:title>
    <c:autoTitleDeleted val="0"/>
    <c:plotArea>
      <c:layout>
        <c:manualLayout>
          <c:layoutTarget val="inner"/>
          <c:xMode val="edge"/>
          <c:yMode val="edge"/>
          <c:x val="3.0555555555555596E-2"/>
          <c:y val="0.16363791735335406"/>
          <c:w val="0.93888888888889743"/>
          <c:h val="0.7189047183055608"/>
        </c:manualLayout>
      </c:layout>
      <c:lineChart>
        <c:grouping val="standard"/>
        <c:varyColors val="0"/>
        <c:ser>
          <c:idx val="0"/>
          <c:order val="0"/>
          <c:tx>
            <c:strRef>
              <c:f>Лист1!$A$6</c:f>
              <c:strCache>
                <c:ptCount val="1"/>
                <c:pt idx="0">
                  <c:v>Кількість пенсіонерів</c:v>
                </c:pt>
              </c:strCache>
            </c:strRef>
          </c:tx>
          <c:dLbls>
            <c:dLbl>
              <c:idx val="0"/>
              <c:layout>
                <c:manualLayout>
                  <c:x val="-0.10833333333333332"/>
                  <c:y val="-6.493506493506497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0555555555555596E-2"/>
                  <c:y val="-7.792207792207911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7777777777778699E-2"/>
                  <c:y val="-4.761904761904771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Лист1!$B$5:$D$5</c:f>
              <c:strCache>
                <c:ptCount val="3"/>
                <c:pt idx="0">
                  <c:v>2015 рік</c:v>
                </c:pt>
                <c:pt idx="1">
                  <c:v>2016 рік</c:v>
                </c:pt>
                <c:pt idx="2">
                  <c:v>7 міс. 2017 року</c:v>
                </c:pt>
              </c:strCache>
            </c:strRef>
          </c:cat>
          <c:val>
            <c:numRef>
              <c:f>Лист1!$B$6:$D$6</c:f>
              <c:numCache>
                <c:formatCode>General</c:formatCode>
                <c:ptCount val="3"/>
                <c:pt idx="0">
                  <c:v>81170</c:v>
                </c:pt>
                <c:pt idx="1">
                  <c:v>80385</c:v>
                </c:pt>
                <c:pt idx="2">
                  <c:v>80290</c:v>
                </c:pt>
              </c:numCache>
            </c:numRef>
          </c:val>
          <c:smooth val="0"/>
        </c:ser>
        <c:dLbls>
          <c:showLegendKey val="0"/>
          <c:showVal val="0"/>
          <c:showCatName val="0"/>
          <c:showSerName val="0"/>
          <c:showPercent val="0"/>
          <c:showBubbleSize val="0"/>
        </c:dLbls>
        <c:marker val="1"/>
        <c:smooth val="0"/>
        <c:axId val="502512800"/>
        <c:axId val="502519072"/>
      </c:lineChart>
      <c:catAx>
        <c:axId val="502512800"/>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519072"/>
        <c:crosses val="autoZero"/>
        <c:auto val="1"/>
        <c:lblAlgn val="ctr"/>
        <c:lblOffset val="100"/>
        <c:noMultiLvlLbl val="0"/>
      </c:catAx>
      <c:valAx>
        <c:axId val="502519072"/>
        <c:scaling>
          <c:orientation val="minMax"/>
        </c:scaling>
        <c:delete val="1"/>
        <c:axPos val="l"/>
        <c:numFmt formatCode="General" sourceLinked="1"/>
        <c:majorTickMark val="out"/>
        <c:minorTickMark val="none"/>
        <c:tickLblPos val="none"/>
        <c:crossAx val="502512800"/>
        <c:crosses val="autoZero"/>
        <c:crossBetween val="between"/>
      </c:valAx>
    </c:plotArea>
    <c:plotVisOnly val="1"/>
    <c:dispBlanksAs val="gap"/>
    <c:showDLblsOverMax val="0"/>
  </c:chart>
  <c:spPr>
    <a:noFill/>
    <a:ln>
      <a:noFill/>
    </a:ln>
  </c:spPr>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300">
                <a:latin typeface="Times New Roman" pitchFamily="18" charset="0"/>
                <a:cs typeface="Times New Roman" pitchFamily="18" charset="0"/>
              </a:rPr>
              <a:t>Кількість осіб, в т. ч. малозабезпечених, які отримують соціальну допомогу</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3.0555555555555582E-2"/>
          <c:y val="0.23611111111111124"/>
          <c:w val="0.67723810114286898"/>
          <c:h val="0.65305555555556771"/>
        </c:manualLayout>
      </c:layout>
      <c:bar3DChart>
        <c:barDir val="col"/>
        <c:grouping val="clustered"/>
        <c:varyColors val="0"/>
        <c:ser>
          <c:idx val="0"/>
          <c:order val="0"/>
          <c:tx>
            <c:strRef>
              <c:f>Лист1!$A$112</c:f>
              <c:strCache>
                <c:ptCount val="1"/>
                <c:pt idx="0">
                  <c:v>Кількість осіб, всього</c:v>
                </c:pt>
              </c:strCache>
            </c:strRef>
          </c:tx>
          <c:invertIfNegative val="0"/>
          <c:dLbls>
            <c:spPr>
              <a:noFill/>
              <a:ln>
                <a:noFill/>
              </a:ln>
              <a:effectLst/>
            </c:spPr>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Лист1!$B$111:$E$111</c:f>
              <c:strCache>
                <c:ptCount val="4"/>
                <c:pt idx="0">
                  <c:v>2014 рік</c:v>
                </c:pt>
                <c:pt idx="1">
                  <c:v>2015 рік</c:v>
                </c:pt>
                <c:pt idx="2">
                  <c:v>2016 рік</c:v>
                </c:pt>
                <c:pt idx="3">
                  <c:v>7 міс. 2017 року</c:v>
                </c:pt>
              </c:strCache>
            </c:strRef>
          </c:cat>
          <c:val>
            <c:numRef>
              <c:f>Лист1!$B$112:$E$112</c:f>
              <c:numCache>
                <c:formatCode>General</c:formatCode>
                <c:ptCount val="4"/>
                <c:pt idx="0">
                  <c:v>30339</c:v>
                </c:pt>
                <c:pt idx="1">
                  <c:v>24982</c:v>
                </c:pt>
                <c:pt idx="2">
                  <c:v>22812</c:v>
                </c:pt>
                <c:pt idx="3">
                  <c:v>21398</c:v>
                </c:pt>
              </c:numCache>
            </c:numRef>
          </c:val>
        </c:ser>
        <c:ser>
          <c:idx val="1"/>
          <c:order val="1"/>
          <c:tx>
            <c:strRef>
              <c:f>Лист1!$A$113</c:f>
              <c:strCache>
                <c:ptCount val="1"/>
                <c:pt idx="0">
                  <c:v>Кількість малозабезпечених осіб</c:v>
                </c:pt>
              </c:strCache>
            </c:strRef>
          </c:tx>
          <c:spPr>
            <a:solidFill>
              <a:srgbClr val="9BBB59"/>
            </a:solidFill>
          </c:spPr>
          <c:invertIfNegative val="0"/>
          <c:dLbls>
            <c:dLbl>
              <c:idx val="0"/>
              <c:layout>
                <c:manualLayout>
                  <c:x val="2.7777777777778775E-2"/>
                  <c:y val="4.6296296296297014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000000000000001E-2"/>
                  <c:y val="0"/>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7777777777778775E-2"/>
                  <c:y val="0"/>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6111111111111212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Лист1!$B$111:$E$111</c:f>
              <c:strCache>
                <c:ptCount val="4"/>
                <c:pt idx="0">
                  <c:v>2014 рік</c:v>
                </c:pt>
                <c:pt idx="1">
                  <c:v>2015 рік</c:v>
                </c:pt>
                <c:pt idx="2">
                  <c:v>2016 рік</c:v>
                </c:pt>
                <c:pt idx="3">
                  <c:v>7 міс. 2017 року</c:v>
                </c:pt>
              </c:strCache>
            </c:strRef>
          </c:cat>
          <c:val>
            <c:numRef>
              <c:f>Лист1!$B$113:$E$113</c:f>
              <c:numCache>
                <c:formatCode>General</c:formatCode>
                <c:ptCount val="4"/>
                <c:pt idx="0">
                  <c:v>1714</c:v>
                </c:pt>
                <c:pt idx="1">
                  <c:v>1250</c:v>
                </c:pt>
                <c:pt idx="2">
                  <c:v>2565</c:v>
                </c:pt>
                <c:pt idx="3">
                  <c:v>1214</c:v>
                </c:pt>
              </c:numCache>
            </c:numRef>
          </c:val>
        </c:ser>
        <c:dLbls>
          <c:showLegendKey val="0"/>
          <c:showVal val="0"/>
          <c:showCatName val="0"/>
          <c:showSerName val="0"/>
          <c:showPercent val="0"/>
          <c:showBubbleSize val="0"/>
        </c:dLbls>
        <c:gapWidth val="150"/>
        <c:shape val="box"/>
        <c:axId val="502511232"/>
        <c:axId val="502512408"/>
        <c:axId val="0"/>
      </c:bar3DChart>
      <c:catAx>
        <c:axId val="502511232"/>
        <c:scaling>
          <c:orientation val="minMax"/>
        </c:scaling>
        <c:delete val="0"/>
        <c:axPos val="b"/>
        <c:numFmt formatCode="General" sourceLinked="1"/>
        <c:majorTickMark val="out"/>
        <c:minorTickMark val="none"/>
        <c:tickLblPos val="nextTo"/>
        <c:txPr>
          <a:bodyPr/>
          <a:lstStyle/>
          <a:p>
            <a:pPr>
              <a:defRPr sz="1000" b="1">
                <a:latin typeface="Times New Roman" pitchFamily="18" charset="0"/>
                <a:cs typeface="Times New Roman" pitchFamily="18" charset="0"/>
              </a:defRPr>
            </a:pPr>
            <a:endParaRPr lang="ru-RU"/>
          </a:p>
        </c:txPr>
        <c:crossAx val="502512408"/>
        <c:crosses val="autoZero"/>
        <c:auto val="1"/>
        <c:lblAlgn val="ctr"/>
        <c:lblOffset val="100"/>
        <c:noMultiLvlLbl val="0"/>
      </c:catAx>
      <c:valAx>
        <c:axId val="502512408"/>
        <c:scaling>
          <c:orientation val="minMax"/>
        </c:scaling>
        <c:delete val="1"/>
        <c:axPos val="l"/>
        <c:numFmt formatCode="General" sourceLinked="1"/>
        <c:majorTickMark val="out"/>
        <c:minorTickMark val="none"/>
        <c:tickLblPos val="none"/>
        <c:crossAx val="502511232"/>
        <c:crosses val="autoZero"/>
        <c:crossBetween val="between"/>
      </c:valAx>
    </c:plotArea>
    <c:legend>
      <c:legendPos val="r"/>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300">
                <a:latin typeface="Times New Roman" pitchFamily="18" charset="0"/>
                <a:cs typeface="Times New Roman" pitchFamily="18" charset="0"/>
              </a:rPr>
              <a:t>Обсяг</a:t>
            </a:r>
            <a:r>
              <a:rPr lang="ru-RU" sz="1300" baseline="0">
                <a:latin typeface="Times New Roman" pitchFamily="18" charset="0"/>
                <a:cs typeface="Times New Roman" pitchFamily="18" charset="0"/>
              </a:rPr>
              <a:t> виплаченої соціальної допомоги, в т.ч. для малозабезпечених осіб, млн.грн.</a:t>
            </a:r>
            <a:endParaRPr lang="ru-RU" sz="1300">
              <a:latin typeface="Times New Roman" pitchFamily="18" charset="0"/>
              <a:cs typeface="Times New Roman" pitchFamily="18" charset="0"/>
            </a:endParaRPr>
          </a:p>
        </c:rich>
      </c:tx>
      <c:overlay val="0"/>
    </c:title>
    <c:autoTitleDeleted val="0"/>
    <c:view3D>
      <c:rotX val="15"/>
      <c:rotY val="20"/>
      <c:rAngAx val="1"/>
    </c:view3D>
    <c:floor>
      <c:thickness val="0"/>
    </c:floor>
    <c:sideWall>
      <c:thickness val="0"/>
      <c:spPr>
        <a:noFill/>
        <a:ln w="25400">
          <a:noFill/>
        </a:ln>
      </c:spPr>
    </c:sideWall>
    <c:backWall>
      <c:thickness val="0"/>
      <c:spPr>
        <a:noFill/>
        <a:ln w="25400">
          <a:noFill/>
        </a:ln>
      </c:spPr>
    </c:backWall>
    <c:plotArea>
      <c:layout>
        <c:manualLayout>
          <c:layoutTarget val="inner"/>
          <c:xMode val="edge"/>
          <c:yMode val="edge"/>
          <c:x val="2.7465667915106639E-2"/>
          <c:y val="0.24335673268973174"/>
          <c:w val="0.65380891995242163"/>
          <c:h val="0.54887157636331041"/>
        </c:manualLayout>
      </c:layout>
      <c:bar3DChart>
        <c:barDir val="col"/>
        <c:grouping val="clustered"/>
        <c:varyColors val="0"/>
        <c:ser>
          <c:idx val="0"/>
          <c:order val="0"/>
          <c:tx>
            <c:strRef>
              <c:f>Лист1!$A$128</c:f>
              <c:strCache>
                <c:ptCount val="1"/>
                <c:pt idx="0">
                  <c:v>Обсяг виплаченої соціальної допомоги</c:v>
                </c:pt>
              </c:strCache>
            </c:strRef>
          </c:tx>
          <c:invertIfNegative val="0"/>
          <c:dLbls>
            <c:dLbl>
              <c:idx val="0"/>
              <c:layout>
                <c:manualLayout>
                  <c:x val="1.0774410774410775E-2"/>
                  <c:y val="-2.777778645725125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0774410774410775E-2"/>
                  <c:y val="-1.5873020832714885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8.0808080808080808E-3"/>
                  <c:y val="0"/>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3468013468013467E-2"/>
                  <c:y val="-4.6620063733665085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Лист1!$B$127:$E$127</c:f>
              <c:strCache>
                <c:ptCount val="4"/>
                <c:pt idx="0">
                  <c:v>2014 рік</c:v>
                </c:pt>
                <c:pt idx="1">
                  <c:v>2015 рік</c:v>
                </c:pt>
                <c:pt idx="2">
                  <c:v>2016 рік</c:v>
                </c:pt>
                <c:pt idx="3">
                  <c:v>7 міс. 2017 року</c:v>
                </c:pt>
              </c:strCache>
            </c:strRef>
          </c:cat>
          <c:val>
            <c:numRef>
              <c:f>Лист1!$B$128:$E$128</c:f>
              <c:numCache>
                <c:formatCode>General</c:formatCode>
                <c:ptCount val="4"/>
                <c:pt idx="0">
                  <c:v>241.9</c:v>
                </c:pt>
                <c:pt idx="1">
                  <c:v>258.5</c:v>
                </c:pt>
                <c:pt idx="2">
                  <c:v>281.10000000000002</c:v>
                </c:pt>
                <c:pt idx="3">
                  <c:v>180.4</c:v>
                </c:pt>
              </c:numCache>
            </c:numRef>
          </c:val>
        </c:ser>
        <c:ser>
          <c:idx val="1"/>
          <c:order val="1"/>
          <c:tx>
            <c:strRef>
              <c:f>Лист1!$A$129</c:f>
              <c:strCache>
                <c:ptCount val="1"/>
                <c:pt idx="0">
                  <c:v>Обсяг соціальної допомоги для малозабезпечених осіб</c:v>
                </c:pt>
              </c:strCache>
            </c:strRef>
          </c:tx>
          <c:spPr>
            <a:solidFill>
              <a:schemeClr val="accent3"/>
            </a:solidFill>
          </c:spPr>
          <c:invertIfNegative val="0"/>
          <c:dLbls>
            <c:dLbl>
              <c:idx val="0"/>
              <c:layout>
                <c:manualLayout>
                  <c:x val="2.6936026936026935E-2"/>
                  <c:y val="-2.331003186683252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855218855218861E-2"/>
                  <c:y val="-2.3310031866832528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8855218855218861E-2"/>
                  <c:y val="-1.3986019120099519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6936026936026935E-2"/>
                  <c:y val="-1.3986019120099519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Лист1!$B$127:$E$127</c:f>
              <c:strCache>
                <c:ptCount val="4"/>
                <c:pt idx="0">
                  <c:v>2014 рік</c:v>
                </c:pt>
                <c:pt idx="1">
                  <c:v>2015 рік</c:v>
                </c:pt>
                <c:pt idx="2">
                  <c:v>2016 рік</c:v>
                </c:pt>
                <c:pt idx="3">
                  <c:v>7 міс. 2017 року</c:v>
                </c:pt>
              </c:strCache>
            </c:strRef>
          </c:cat>
          <c:val>
            <c:numRef>
              <c:f>Лист1!$B$129:$E$129</c:f>
              <c:numCache>
                <c:formatCode>General</c:formatCode>
                <c:ptCount val="4"/>
                <c:pt idx="0" formatCode="0.0">
                  <c:v>12</c:v>
                </c:pt>
                <c:pt idx="1">
                  <c:v>20.2</c:v>
                </c:pt>
                <c:pt idx="2">
                  <c:v>27.3</c:v>
                </c:pt>
                <c:pt idx="3">
                  <c:v>18.899999999999999</c:v>
                </c:pt>
              </c:numCache>
            </c:numRef>
          </c:val>
        </c:ser>
        <c:dLbls>
          <c:showLegendKey val="0"/>
          <c:showVal val="0"/>
          <c:showCatName val="0"/>
          <c:showSerName val="0"/>
          <c:showPercent val="0"/>
          <c:showBubbleSize val="0"/>
        </c:dLbls>
        <c:gapWidth val="150"/>
        <c:shape val="cylinder"/>
        <c:axId val="502513192"/>
        <c:axId val="502519464"/>
        <c:axId val="0"/>
      </c:bar3DChart>
      <c:catAx>
        <c:axId val="502513192"/>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519464"/>
        <c:crosses val="autoZero"/>
        <c:auto val="1"/>
        <c:lblAlgn val="ctr"/>
        <c:lblOffset val="100"/>
        <c:noMultiLvlLbl val="0"/>
      </c:catAx>
      <c:valAx>
        <c:axId val="502519464"/>
        <c:scaling>
          <c:orientation val="minMax"/>
        </c:scaling>
        <c:delete val="1"/>
        <c:axPos val="l"/>
        <c:numFmt formatCode="General" sourceLinked="1"/>
        <c:majorTickMark val="out"/>
        <c:minorTickMark val="none"/>
        <c:tickLblPos val="none"/>
        <c:crossAx val="502513192"/>
        <c:crosses val="autoZero"/>
        <c:crossBetween val="between"/>
      </c:valAx>
    </c:plotArea>
    <c:legend>
      <c:legendPos val="r"/>
      <c:layout>
        <c:manualLayout>
          <c:xMode val="edge"/>
          <c:yMode val="edge"/>
          <c:x val="0.66888488197624396"/>
          <c:y val="0.33589013873266593"/>
          <c:w val="0.28713687565154888"/>
          <c:h val="0.31842676022329286"/>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solidFill>
                  <a:schemeClr val="tx1"/>
                </a:solidFill>
              </a:defRPr>
            </a:pPr>
            <a:r>
              <a:rPr lang="ru-RU" sz="1300">
                <a:solidFill>
                  <a:schemeClr val="tx1"/>
                </a:solidFill>
                <a:latin typeface="Times New Roman" pitchFamily="18" charset="0"/>
                <a:cs typeface="Times New Roman" pitchFamily="18" charset="0"/>
              </a:rPr>
              <a:t>Кількість</a:t>
            </a:r>
            <a:r>
              <a:rPr lang="ru-RU" sz="1300" baseline="0">
                <a:solidFill>
                  <a:schemeClr val="tx1"/>
                </a:solidFill>
                <a:latin typeface="Times New Roman" pitchFamily="18" charset="0"/>
                <a:cs typeface="Times New Roman" pitchFamily="18" charset="0"/>
              </a:rPr>
              <a:t> громадян, не здатних до самообслуговування, осіб</a:t>
            </a:r>
            <a:endParaRPr lang="ru-RU" sz="1300">
              <a:solidFill>
                <a:schemeClr val="tx1"/>
              </a:solidFill>
              <a:latin typeface="Times New Roman" pitchFamily="18" charset="0"/>
              <a:cs typeface="Times New Roman" pitchFamily="18" charset="0"/>
            </a:endParaRPr>
          </a:p>
        </c:rich>
      </c:tx>
      <c:layout>
        <c:manualLayout>
          <c:xMode val="edge"/>
          <c:yMode val="edge"/>
          <c:x val="0.14645788820989444"/>
          <c:y val="2.2346368715083852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2.7830487033523733E-2"/>
          <c:y val="0.183056791814069"/>
          <c:w val="0.65144217504121249"/>
          <c:h val="0.72496405340636783"/>
        </c:manualLayout>
      </c:layout>
      <c:bar3DChart>
        <c:barDir val="col"/>
        <c:grouping val="clustered"/>
        <c:varyColors val="0"/>
        <c:ser>
          <c:idx val="0"/>
          <c:order val="0"/>
          <c:tx>
            <c:strRef>
              <c:f>Лист1!$A$20</c:f>
              <c:strCache>
                <c:ptCount val="1"/>
                <c:pt idx="0">
                  <c:v>Кількість громадян, не здатних до самообслуговування </c:v>
                </c:pt>
              </c:strCache>
            </c:strRef>
          </c:tx>
          <c:invertIfNegative val="0"/>
          <c:dLbls>
            <c:dLbl>
              <c:idx val="2"/>
              <c:layout>
                <c:manualLayout>
                  <c:x val="-2.0240354206198637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Лист1!$B$19:$E$19</c:f>
              <c:strCache>
                <c:ptCount val="4"/>
                <c:pt idx="0">
                  <c:v>2014 рік</c:v>
                </c:pt>
                <c:pt idx="1">
                  <c:v>2015 рік</c:v>
                </c:pt>
                <c:pt idx="2">
                  <c:v>2016 рік</c:v>
                </c:pt>
                <c:pt idx="3">
                  <c:v>2017 рік  </c:v>
                </c:pt>
              </c:strCache>
            </c:strRef>
          </c:cat>
          <c:val>
            <c:numRef>
              <c:f>Лист1!$B$20:$E$20</c:f>
              <c:numCache>
                <c:formatCode>General</c:formatCode>
                <c:ptCount val="4"/>
                <c:pt idx="0">
                  <c:v>8394</c:v>
                </c:pt>
                <c:pt idx="1">
                  <c:v>7445</c:v>
                </c:pt>
                <c:pt idx="2">
                  <c:v>6166</c:v>
                </c:pt>
                <c:pt idx="3">
                  <c:v>5403</c:v>
                </c:pt>
              </c:numCache>
            </c:numRef>
          </c:val>
        </c:ser>
        <c:ser>
          <c:idx val="1"/>
          <c:order val="1"/>
          <c:tx>
            <c:strRef>
              <c:f>Лист1!$A$21</c:f>
              <c:strCache>
                <c:ptCount val="1"/>
                <c:pt idx="0">
                  <c:v>Кількість осіб, які обслуговуються в міському територіальному центрі соціального обслуговування</c:v>
                </c:pt>
              </c:strCache>
            </c:strRef>
          </c:tx>
          <c:spPr>
            <a:solidFill>
              <a:schemeClr val="accent3">
                <a:lumMod val="75000"/>
              </a:schemeClr>
            </a:solidFill>
          </c:spPr>
          <c:invertIfNegative val="0"/>
          <c:dPt>
            <c:idx val="0"/>
            <c:invertIfNegative val="0"/>
            <c:bubble3D val="0"/>
            <c:spPr>
              <a:solidFill>
                <a:schemeClr val="accent3"/>
              </a:solidFill>
            </c:spPr>
          </c:dPt>
          <c:dPt>
            <c:idx val="1"/>
            <c:invertIfNegative val="0"/>
            <c:bubble3D val="0"/>
            <c:spPr>
              <a:solidFill>
                <a:schemeClr val="accent3"/>
              </a:solidFill>
            </c:spPr>
          </c:dPt>
          <c:dPt>
            <c:idx val="2"/>
            <c:invertIfNegative val="0"/>
            <c:bubble3D val="0"/>
            <c:spPr>
              <a:solidFill>
                <a:schemeClr val="accent3"/>
              </a:solidFill>
            </c:spPr>
          </c:dPt>
          <c:dPt>
            <c:idx val="3"/>
            <c:invertIfNegative val="0"/>
            <c:bubble3D val="0"/>
            <c:spPr>
              <a:solidFill>
                <a:schemeClr val="accent3"/>
              </a:solidFill>
            </c:spPr>
          </c:dPt>
          <c:dLbls>
            <c:dLbl>
              <c:idx val="0"/>
              <c:layout>
                <c:manualLayout>
                  <c:x val="3.0360531309297563E-2"/>
                  <c:y val="-3.7243947858474624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0360531309297563E-2"/>
                  <c:y val="-7.4487895716947427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7710309930423784E-2"/>
                  <c:y val="0"/>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0360531309297563E-2"/>
                  <c:y val="-1.11731843575419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Лист1!$B$19:$E$19</c:f>
              <c:strCache>
                <c:ptCount val="4"/>
                <c:pt idx="0">
                  <c:v>2014 рік</c:v>
                </c:pt>
                <c:pt idx="1">
                  <c:v>2015 рік</c:v>
                </c:pt>
                <c:pt idx="2">
                  <c:v>2016 рік</c:v>
                </c:pt>
                <c:pt idx="3">
                  <c:v>2017 рік  </c:v>
                </c:pt>
              </c:strCache>
            </c:strRef>
          </c:cat>
          <c:val>
            <c:numRef>
              <c:f>Лист1!$B$21:$E$21</c:f>
              <c:numCache>
                <c:formatCode>General</c:formatCode>
                <c:ptCount val="4"/>
                <c:pt idx="0">
                  <c:v>5025</c:v>
                </c:pt>
                <c:pt idx="1">
                  <c:v>5085</c:v>
                </c:pt>
                <c:pt idx="2">
                  <c:v>6160</c:v>
                </c:pt>
                <c:pt idx="3">
                  <c:v>4132</c:v>
                </c:pt>
              </c:numCache>
            </c:numRef>
          </c:val>
        </c:ser>
        <c:dLbls>
          <c:showLegendKey val="0"/>
          <c:showVal val="0"/>
          <c:showCatName val="0"/>
          <c:showSerName val="0"/>
          <c:showPercent val="0"/>
          <c:showBubbleSize val="0"/>
        </c:dLbls>
        <c:gapWidth val="150"/>
        <c:shape val="box"/>
        <c:axId val="502513584"/>
        <c:axId val="502511624"/>
        <c:axId val="0"/>
      </c:bar3DChart>
      <c:catAx>
        <c:axId val="502513584"/>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511624"/>
        <c:crosses val="autoZero"/>
        <c:auto val="1"/>
        <c:lblAlgn val="ctr"/>
        <c:lblOffset val="100"/>
        <c:noMultiLvlLbl val="0"/>
      </c:catAx>
      <c:valAx>
        <c:axId val="502511624"/>
        <c:scaling>
          <c:orientation val="minMax"/>
        </c:scaling>
        <c:delete val="1"/>
        <c:axPos val="l"/>
        <c:numFmt formatCode="General" sourceLinked="1"/>
        <c:majorTickMark val="out"/>
        <c:minorTickMark val="none"/>
        <c:tickLblPos val="none"/>
        <c:crossAx val="502513584"/>
        <c:crosses val="autoZero"/>
        <c:crossBetween val="between"/>
      </c:valAx>
    </c:plotArea>
    <c:legend>
      <c:legendPos val="r"/>
      <c:layout>
        <c:manualLayout>
          <c:xMode val="edge"/>
          <c:yMode val="edge"/>
          <c:x val="0.66915248497163649"/>
          <c:y val="0.19870357114451587"/>
          <c:w val="0.31566724937371482"/>
          <c:h val="0.51168376680187699"/>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300">
                <a:latin typeface="Times New Roman" pitchFamily="18" charset="0"/>
                <a:cs typeface="Times New Roman" pitchFamily="18" charset="0"/>
              </a:rPr>
              <a:t>Кількість дітей-інвалідів, які потребують  реабілітаційних послуг, осіб</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1.0020515199898324E-2"/>
          <c:y val="0.2226968503937008"/>
          <c:w val="0.68348221636940165"/>
          <c:h val="0.64074436641367027"/>
        </c:manualLayout>
      </c:layout>
      <c:bar3DChart>
        <c:barDir val="col"/>
        <c:grouping val="clustered"/>
        <c:varyColors val="0"/>
        <c:ser>
          <c:idx val="0"/>
          <c:order val="0"/>
          <c:tx>
            <c:strRef>
              <c:f>Лист1!$A$42</c:f>
              <c:strCache>
                <c:ptCount val="1"/>
                <c:pt idx="0">
                  <c:v>Кількість дітей-інвалідів, які потребують реабілітаційних послуг</c:v>
                </c:pt>
              </c:strCache>
            </c:strRef>
          </c:tx>
          <c:invertIfNegative val="0"/>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Лист1!$B$41:$E$41</c:f>
              <c:strCache>
                <c:ptCount val="4"/>
                <c:pt idx="0">
                  <c:v>2014</c:v>
                </c:pt>
                <c:pt idx="1">
                  <c:v>2015</c:v>
                </c:pt>
                <c:pt idx="2">
                  <c:v>2016</c:v>
                </c:pt>
                <c:pt idx="3">
                  <c:v>2017 рік </c:v>
                </c:pt>
              </c:strCache>
            </c:strRef>
          </c:cat>
          <c:val>
            <c:numRef>
              <c:f>Лист1!$B$42:$E$42</c:f>
              <c:numCache>
                <c:formatCode>General</c:formatCode>
                <c:ptCount val="4"/>
                <c:pt idx="0">
                  <c:v>1137</c:v>
                </c:pt>
                <c:pt idx="1">
                  <c:v>1168</c:v>
                </c:pt>
                <c:pt idx="2">
                  <c:v>1201</c:v>
                </c:pt>
                <c:pt idx="3">
                  <c:v>1218</c:v>
                </c:pt>
              </c:numCache>
            </c:numRef>
          </c:val>
        </c:ser>
        <c:ser>
          <c:idx val="1"/>
          <c:order val="1"/>
          <c:tx>
            <c:strRef>
              <c:f>Лист1!$A$43</c:f>
              <c:strCache>
                <c:ptCount val="1"/>
                <c:pt idx="0">
                  <c:v>Кількість дітей, які обслуговуються в центрі соціальної реабілітації дітей-інвалідів</c:v>
                </c:pt>
              </c:strCache>
            </c:strRef>
          </c:tx>
          <c:spPr>
            <a:solidFill>
              <a:srgbClr val="9BBB59"/>
            </a:solidFill>
          </c:spPr>
          <c:invertIfNegative val="0"/>
          <c:dLbls>
            <c:dLbl>
              <c:idx val="0"/>
              <c:layout>
                <c:manualLayout>
                  <c:x val="1.5209125475285436E-2"/>
                  <c:y val="8.4875562720141677E-17"/>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0278833967046894E-2"/>
                  <c:y val="-4.6299941673957346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5209125475285436E-2"/>
                  <c:y val="-4.6296296296295504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0278833967046894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Лист1!$B$41:$E$41</c:f>
              <c:strCache>
                <c:ptCount val="4"/>
                <c:pt idx="0">
                  <c:v>2014</c:v>
                </c:pt>
                <c:pt idx="1">
                  <c:v>2015</c:v>
                </c:pt>
                <c:pt idx="2">
                  <c:v>2016</c:v>
                </c:pt>
                <c:pt idx="3">
                  <c:v>2017 рік </c:v>
                </c:pt>
              </c:strCache>
            </c:strRef>
          </c:cat>
          <c:val>
            <c:numRef>
              <c:f>Лист1!$B$43:$E$43</c:f>
              <c:numCache>
                <c:formatCode>General</c:formatCode>
                <c:ptCount val="4"/>
                <c:pt idx="0">
                  <c:v>80</c:v>
                </c:pt>
                <c:pt idx="1">
                  <c:v>111</c:v>
                </c:pt>
                <c:pt idx="2">
                  <c:v>124</c:v>
                </c:pt>
                <c:pt idx="3">
                  <c:v>134</c:v>
                </c:pt>
              </c:numCache>
            </c:numRef>
          </c:val>
        </c:ser>
        <c:dLbls>
          <c:showLegendKey val="0"/>
          <c:showVal val="0"/>
          <c:showCatName val="0"/>
          <c:showSerName val="0"/>
          <c:showPercent val="0"/>
          <c:showBubbleSize val="0"/>
        </c:dLbls>
        <c:gapWidth val="150"/>
        <c:shape val="box"/>
        <c:axId val="502522600"/>
        <c:axId val="502521032"/>
        <c:axId val="0"/>
      </c:bar3DChart>
      <c:catAx>
        <c:axId val="502522600"/>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521032"/>
        <c:crosses val="autoZero"/>
        <c:auto val="1"/>
        <c:lblAlgn val="ctr"/>
        <c:lblOffset val="100"/>
        <c:noMultiLvlLbl val="0"/>
      </c:catAx>
      <c:valAx>
        <c:axId val="502521032"/>
        <c:scaling>
          <c:orientation val="minMax"/>
        </c:scaling>
        <c:delete val="1"/>
        <c:axPos val="l"/>
        <c:numFmt formatCode="General" sourceLinked="1"/>
        <c:majorTickMark val="out"/>
        <c:minorTickMark val="none"/>
        <c:tickLblPos val="none"/>
        <c:crossAx val="502522600"/>
        <c:crosses val="autoZero"/>
        <c:crossBetween val="between"/>
      </c:valAx>
    </c:plotArea>
    <c:legend>
      <c:legendPos val="r"/>
      <c:layout>
        <c:manualLayout>
          <c:xMode val="edge"/>
          <c:yMode val="edge"/>
          <c:x val="0.66815413237991206"/>
          <c:y val="0.2594385578345918"/>
          <c:w val="0.31517913385827312"/>
          <c:h val="0.47563591588088538"/>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l">
              <a:defRPr sz="1400">
                <a:latin typeface="Times New Roman" pitchFamily="18" charset="0"/>
                <a:cs typeface="Times New Roman" pitchFamily="18" charset="0"/>
              </a:defRPr>
            </a:pPr>
            <a:r>
              <a:rPr lang="ru-RU" sz="1300">
                <a:latin typeface="Times New Roman" pitchFamily="18" charset="0"/>
                <a:cs typeface="Times New Roman" pitchFamily="18" charset="0"/>
              </a:rPr>
              <a:t>Кількість дітей-інвалідів,  які інтегровані в загальноосвітні навчальні заклади, осіб</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3.0555555555555582E-2"/>
          <c:y val="0.30092592592593387"/>
          <c:w val="0.93888888888889765"/>
          <c:h val="0.58824074074072907"/>
        </c:manualLayout>
      </c:layout>
      <c:bar3DChart>
        <c:barDir val="col"/>
        <c:grouping val="clustered"/>
        <c:varyColors val="0"/>
        <c:ser>
          <c:idx val="1"/>
          <c:order val="0"/>
          <c:spPr>
            <a:solidFill>
              <a:schemeClr val="accent3"/>
            </a:solidFill>
          </c:spPr>
          <c:invertIfNegative val="0"/>
          <c:dLbls>
            <c:dLbl>
              <c:idx val="0"/>
              <c:layout>
                <c:manualLayout>
                  <c:x val="1.6666666666666701E-2"/>
                  <c:y val="-1.388888888888918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666666666666701E-2"/>
                  <c:y val="-9.2592592592595311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6666666666666701E-2"/>
                  <c:y val="-3.240740740740812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9444444444444445E-2"/>
                  <c:y val="-2.314814814814816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Лист1!$B$100:$E$100</c:f>
              <c:strCache>
                <c:ptCount val="4"/>
                <c:pt idx="0">
                  <c:v>2014 рік</c:v>
                </c:pt>
                <c:pt idx="1">
                  <c:v>2015 рік</c:v>
                </c:pt>
                <c:pt idx="2">
                  <c:v>2016 рік</c:v>
                </c:pt>
                <c:pt idx="3">
                  <c:v>7 міс. 2017 року</c:v>
                </c:pt>
              </c:strCache>
            </c:strRef>
          </c:cat>
          <c:val>
            <c:numRef>
              <c:f>Лист1!$B$101:$E$101</c:f>
              <c:numCache>
                <c:formatCode>General</c:formatCode>
                <c:ptCount val="4"/>
                <c:pt idx="0">
                  <c:v>21</c:v>
                </c:pt>
                <c:pt idx="1">
                  <c:v>24</c:v>
                </c:pt>
                <c:pt idx="2">
                  <c:v>22</c:v>
                </c:pt>
                <c:pt idx="3">
                  <c:v>23</c:v>
                </c:pt>
              </c:numCache>
            </c:numRef>
          </c:val>
        </c:ser>
        <c:dLbls>
          <c:showLegendKey val="0"/>
          <c:showVal val="0"/>
          <c:showCatName val="0"/>
          <c:showSerName val="0"/>
          <c:showPercent val="0"/>
          <c:showBubbleSize val="0"/>
        </c:dLbls>
        <c:gapWidth val="150"/>
        <c:shape val="box"/>
        <c:axId val="502517504"/>
        <c:axId val="502510448"/>
        <c:axId val="0"/>
      </c:bar3DChart>
      <c:catAx>
        <c:axId val="502517504"/>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502510448"/>
        <c:crosses val="autoZero"/>
        <c:auto val="1"/>
        <c:lblAlgn val="ctr"/>
        <c:lblOffset val="100"/>
        <c:noMultiLvlLbl val="0"/>
      </c:catAx>
      <c:valAx>
        <c:axId val="502510448"/>
        <c:scaling>
          <c:orientation val="minMax"/>
        </c:scaling>
        <c:delete val="1"/>
        <c:axPos val="l"/>
        <c:numFmt formatCode="General" sourceLinked="1"/>
        <c:majorTickMark val="out"/>
        <c:minorTickMark val="none"/>
        <c:tickLblPos val="none"/>
        <c:crossAx val="502517504"/>
        <c:crosses val="autoZero"/>
        <c:crossBetween val="between"/>
      </c:valAx>
    </c:plotArea>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a:defRPr sz="1200">
                <a:latin typeface="Times New Roman" pitchFamily="18" charset="0"/>
                <a:cs typeface="Times New Roman" pitchFamily="18" charset="0"/>
              </a:defRPr>
            </a:pPr>
            <a:r>
              <a:rPr lang="uk-UA" sz="1200">
                <a:latin typeface="Times New Roman" pitchFamily="18" charset="0"/>
                <a:cs typeface="Times New Roman" pitchFamily="18" charset="0"/>
              </a:rPr>
              <a:t>Структура</a:t>
            </a:r>
            <a:r>
              <a:rPr lang="uk-UA" sz="1200" baseline="0">
                <a:latin typeface="Times New Roman" pitchFamily="18" charset="0"/>
                <a:cs typeface="Times New Roman" pitchFamily="18" charset="0"/>
              </a:rPr>
              <a:t> імпорту товарів, %</a:t>
            </a:r>
            <a:endParaRPr lang="uk-UA" sz="1200">
              <a:latin typeface="Times New Roman" pitchFamily="18" charset="0"/>
              <a:cs typeface="Times New Roman" pitchFamily="18" charset="0"/>
            </a:endParaRPr>
          </a:p>
        </c:rich>
      </c:tx>
      <c:layout>
        <c:manualLayout>
          <c:xMode val="edge"/>
          <c:yMode val="edge"/>
          <c:x val="0.28406255468066532"/>
          <c:y val="1.8518518518518583E-2"/>
        </c:manualLayout>
      </c:layout>
      <c:overlay val="0"/>
    </c:title>
    <c:autoTitleDeleted val="0"/>
    <c:plotArea>
      <c:layout/>
      <c:doughnutChart>
        <c:varyColors val="1"/>
        <c:ser>
          <c:idx val="0"/>
          <c:order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Лист1!$A$249:$A$254</c:f>
              <c:strCache>
                <c:ptCount val="6"/>
                <c:pt idx="0">
                  <c:v>Машини, обладнання, механізми</c:v>
                </c:pt>
                <c:pt idx="1">
                  <c:v>Засоби наземного транспорту, літальні апарати</c:v>
                </c:pt>
                <c:pt idx="2">
                  <c:v>Недорогоцінні метали</c:v>
                </c:pt>
                <c:pt idx="3">
                  <c:v>Полімерні матеріали, пласмаси</c:v>
                </c:pt>
                <c:pt idx="4">
                  <c:v>Продукція хімічної галузі</c:v>
                </c:pt>
                <c:pt idx="5">
                  <c:v>Текстильні матеріали, вироби</c:v>
                </c:pt>
              </c:strCache>
            </c:strRef>
          </c:cat>
          <c:val>
            <c:numRef>
              <c:f>Лист1!$B$249:$B$254</c:f>
              <c:numCache>
                <c:formatCode>General</c:formatCode>
                <c:ptCount val="6"/>
                <c:pt idx="0">
                  <c:v>21.8</c:v>
                </c:pt>
                <c:pt idx="1">
                  <c:v>17.3</c:v>
                </c:pt>
                <c:pt idx="2">
                  <c:v>13.6</c:v>
                </c:pt>
                <c:pt idx="3">
                  <c:v>11.6</c:v>
                </c:pt>
                <c:pt idx="4">
                  <c:v>6.5</c:v>
                </c:pt>
                <c:pt idx="5">
                  <c:v>6.4</c:v>
                </c:pt>
              </c:numCache>
            </c:numRef>
          </c:val>
        </c:ser>
        <c:dLbls>
          <c:showLegendKey val="0"/>
          <c:showVal val="0"/>
          <c:showCatName val="0"/>
          <c:showSerName val="0"/>
          <c:showPercent val="0"/>
          <c:showBubbleSize val="0"/>
          <c:showLeaderLines val="1"/>
        </c:dLbls>
        <c:firstSliceAng val="0"/>
        <c:holeSize val="50"/>
      </c:doughnutChart>
    </c:plotArea>
    <c:legend>
      <c:legendPos val="r"/>
      <c:layout>
        <c:manualLayout>
          <c:xMode val="edge"/>
          <c:yMode val="edge"/>
          <c:x val="0.60277777777777775"/>
          <c:y val="0.16899314668999932"/>
          <c:w val="0.39722222222222697"/>
          <c:h val="0.82405074365704289"/>
        </c:manualLayout>
      </c:layout>
      <c:overlay val="0"/>
      <c:txPr>
        <a:bodyPr/>
        <a:lstStyle/>
        <a:p>
          <a:pPr>
            <a:defRPr>
              <a:latin typeface="Times New Roman" pitchFamily="18" charset="0"/>
              <a:cs typeface="Times New Roman" pitchFamily="18" charset="0"/>
            </a:defRPr>
          </a:pPr>
          <a:endParaRPr lang="ru-RU"/>
        </a:p>
      </c:txPr>
    </c:legend>
    <c:plotVisOnly val="1"/>
    <c:dispBlanksAs val="zero"/>
    <c:showDLblsOverMax val="0"/>
  </c:chart>
  <c:spPr>
    <a:ln>
      <a:noFill/>
    </a:ln>
  </c:spPr>
  <c:externalData r:id="rId2">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ru-RU" sz="1300"/>
              <a:t>Кількість бездомних осіб, які потребують </a:t>
            </a:r>
          </a:p>
          <a:p>
            <a:pPr>
              <a:defRPr sz="1200">
                <a:latin typeface="Times New Roman" pitchFamily="18" charset="0"/>
                <a:cs typeface="Times New Roman" pitchFamily="18" charset="0"/>
              </a:defRPr>
            </a:pPr>
            <a:r>
              <a:rPr lang="ru-RU" sz="1300"/>
              <a:t>соціальних послуг, осіб</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1.3427210487577942E-2"/>
          <c:y val="0.29921386332733024"/>
          <c:w val="0.9856079101223455"/>
          <c:h val="0.47882195448461012"/>
        </c:manualLayout>
      </c:layout>
      <c:bar3DChart>
        <c:barDir val="col"/>
        <c:grouping val="clustered"/>
        <c:varyColors val="0"/>
        <c:ser>
          <c:idx val="0"/>
          <c:order val="0"/>
          <c:tx>
            <c:strRef>
              <c:f>Лист1!$A$137</c:f>
              <c:strCache>
                <c:ptCount val="1"/>
                <c:pt idx="0">
                  <c:v>Кількість бездомних осіб, які потребують соціальних послуг</c:v>
                </c:pt>
              </c:strCache>
            </c:strRef>
          </c:tx>
          <c:invertIfNegative val="0"/>
          <c:dLbls>
            <c:dLbl>
              <c:idx val="0"/>
              <c:layout>
                <c:manualLayout>
                  <c:x val="1.1111111111111125E-2"/>
                  <c:y val="-3.703703703703705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111111111111125E-2"/>
                  <c:y val="-1.388888888888918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7777777777778863E-3"/>
                  <c:y val="-1.8518518518518583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3888888888889181E-2"/>
                  <c:y val="-1.388888888888918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Лист1!$B$136:$E$136</c:f>
              <c:strCache>
                <c:ptCount val="4"/>
                <c:pt idx="0">
                  <c:v>2014 рік</c:v>
                </c:pt>
                <c:pt idx="1">
                  <c:v>2015 рік</c:v>
                </c:pt>
                <c:pt idx="2">
                  <c:v>2016 рік</c:v>
                </c:pt>
                <c:pt idx="3">
                  <c:v>7 міс. 2017 року</c:v>
                </c:pt>
              </c:strCache>
            </c:strRef>
          </c:cat>
          <c:val>
            <c:numRef>
              <c:f>Лист1!$B$137:$E$137</c:f>
              <c:numCache>
                <c:formatCode>General</c:formatCode>
                <c:ptCount val="4"/>
                <c:pt idx="0">
                  <c:v>125</c:v>
                </c:pt>
                <c:pt idx="1">
                  <c:v>180</c:v>
                </c:pt>
                <c:pt idx="2">
                  <c:v>217</c:v>
                </c:pt>
                <c:pt idx="3">
                  <c:v>280</c:v>
                </c:pt>
              </c:numCache>
            </c:numRef>
          </c:val>
        </c:ser>
        <c:dLbls>
          <c:showLegendKey val="0"/>
          <c:showVal val="0"/>
          <c:showCatName val="0"/>
          <c:showSerName val="0"/>
          <c:showPercent val="0"/>
          <c:showBubbleSize val="0"/>
        </c:dLbls>
        <c:gapWidth val="150"/>
        <c:shape val="box"/>
        <c:axId val="502512016"/>
        <c:axId val="502513976"/>
        <c:axId val="0"/>
      </c:bar3DChart>
      <c:catAx>
        <c:axId val="502512016"/>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513976"/>
        <c:crosses val="autoZero"/>
        <c:auto val="1"/>
        <c:lblAlgn val="ctr"/>
        <c:lblOffset val="100"/>
        <c:noMultiLvlLbl val="0"/>
      </c:catAx>
      <c:valAx>
        <c:axId val="502513976"/>
        <c:scaling>
          <c:orientation val="minMax"/>
        </c:scaling>
        <c:delete val="1"/>
        <c:axPos val="l"/>
        <c:numFmt formatCode="General" sourceLinked="1"/>
        <c:majorTickMark val="out"/>
        <c:minorTickMark val="none"/>
        <c:tickLblPos val="none"/>
        <c:crossAx val="502512016"/>
        <c:crosses val="autoZero"/>
        <c:crossBetween val="between"/>
      </c:valAx>
    </c:plotArea>
    <c:plotVisOnly val="1"/>
    <c:dispBlanksAs val="gap"/>
    <c:showDLblsOverMax val="0"/>
  </c:chart>
  <c:spPr>
    <a:ln>
      <a:noFill/>
    </a:ln>
  </c:spPr>
  <c:externalData r:id="rId1">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00"/>
            </a:pPr>
            <a:r>
              <a:rPr lang="ru-RU" sz="1300">
                <a:latin typeface="Times New Roman" pitchFamily="18" charset="0"/>
                <a:cs typeface="Times New Roman" pitchFamily="18" charset="0"/>
              </a:rPr>
              <a:t>Кількість бездомних громадян, які перебувають в Комплексному закладі для осіб, які опинилися в складних життєвих обставинах, осіб</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6.1111111111111123E-2"/>
          <c:y val="0.48217435320585755"/>
          <c:w val="0.85833333333333361"/>
          <c:h val="0.33421597300337985"/>
        </c:manualLayout>
      </c:layout>
      <c:bar3DChart>
        <c:barDir val="col"/>
        <c:grouping val="clustered"/>
        <c:varyColors val="0"/>
        <c:ser>
          <c:idx val="0"/>
          <c:order val="0"/>
          <c:tx>
            <c:strRef>
              <c:f>Лист1!$A$147</c:f>
              <c:strCache>
                <c:ptCount val="1"/>
                <c:pt idx="0">
                  <c:v>Кількість бездомних громадян, які пере
бувають в Комплексному закладі для осіб, які опинилися в складних життєвих обставинах</c:v>
                </c:pt>
              </c:strCache>
            </c:strRef>
          </c:tx>
          <c:invertIfNegative val="0"/>
          <c:dLbls>
            <c:dLbl>
              <c:idx val="0"/>
              <c:layout>
                <c:manualLayout>
                  <c:x val="1.1111111111111125E-2"/>
                  <c:y val="-2.314814814814814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222222222222251E-2"/>
                  <c:y val="-1.3888888888889176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222222222222251E-2"/>
                  <c:y val="-1.851851851851858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Лист1!$B$146:$D$146</c:f>
              <c:strCache>
                <c:ptCount val="3"/>
                <c:pt idx="0">
                  <c:v>2015 рік</c:v>
                </c:pt>
                <c:pt idx="1">
                  <c:v>2016 рік</c:v>
                </c:pt>
                <c:pt idx="2">
                  <c:v>7 міс. 2017 року</c:v>
                </c:pt>
              </c:strCache>
            </c:strRef>
          </c:cat>
          <c:val>
            <c:numRef>
              <c:f>Лист1!$B$147:$D$147</c:f>
              <c:numCache>
                <c:formatCode>General</c:formatCode>
                <c:ptCount val="3"/>
                <c:pt idx="0">
                  <c:v>70</c:v>
                </c:pt>
                <c:pt idx="1">
                  <c:v>125</c:v>
                </c:pt>
                <c:pt idx="2">
                  <c:v>175</c:v>
                </c:pt>
              </c:numCache>
            </c:numRef>
          </c:val>
        </c:ser>
        <c:dLbls>
          <c:showLegendKey val="0"/>
          <c:showVal val="0"/>
          <c:showCatName val="0"/>
          <c:showSerName val="0"/>
          <c:showPercent val="0"/>
          <c:showBubbleSize val="0"/>
        </c:dLbls>
        <c:gapWidth val="150"/>
        <c:shape val="box"/>
        <c:axId val="502521424"/>
        <c:axId val="502518288"/>
        <c:axId val="0"/>
      </c:bar3DChart>
      <c:catAx>
        <c:axId val="502521424"/>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518288"/>
        <c:crosses val="autoZero"/>
        <c:auto val="1"/>
        <c:lblAlgn val="ctr"/>
        <c:lblOffset val="100"/>
        <c:noMultiLvlLbl val="0"/>
      </c:catAx>
      <c:valAx>
        <c:axId val="502518288"/>
        <c:scaling>
          <c:orientation val="minMax"/>
        </c:scaling>
        <c:delete val="1"/>
        <c:axPos val="l"/>
        <c:numFmt formatCode="General" sourceLinked="1"/>
        <c:majorTickMark val="out"/>
        <c:minorTickMark val="none"/>
        <c:tickLblPos val="none"/>
        <c:crossAx val="502521424"/>
        <c:crosses val="autoZero"/>
        <c:crossBetween val="between"/>
      </c:valAx>
    </c:plotArea>
    <c:plotVisOnly val="1"/>
    <c:dispBlanksAs val="gap"/>
    <c:showDLblsOverMax val="0"/>
  </c:chart>
  <c:spPr>
    <a:ln>
      <a:noFill/>
    </a:ln>
  </c:spPr>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latin typeface="Times New Roman" pitchFamily="18" charset="0"/>
                <a:cs typeface="Times New Roman" pitchFamily="18" charset="0"/>
              </a:defRPr>
            </a:pPr>
            <a:r>
              <a:rPr lang="ru-RU" sz="1100">
                <a:latin typeface="Times New Roman" pitchFamily="18" charset="0"/>
                <a:cs typeface="Times New Roman" pitchFamily="18" charset="0"/>
              </a:rPr>
              <a:t>Питома вага бездомних осіб, охоплених соціальними послугами, %</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3.8690476190476192E-2"/>
          <c:y val="0.28057752375251338"/>
          <c:w val="0.93452380952380965"/>
          <c:h val="0.52236439195100348"/>
        </c:manualLayout>
      </c:layout>
      <c:bar3DChart>
        <c:barDir val="col"/>
        <c:grouping val="clustered"/>
        <c:varyColors val="0"/>
        <c:ser>
          <c:idx val="0"/>
          <c:order val="0"/>
          <c:tx>
            <c:strRef>
              <c:f>Лист1!$A$156</c:f>
              <c:strCache>
                <c:ptCount val="1"/>
                <c:pt idx="0">
                  <c:v>Питома вага бездомних осіб, охоплених соціальними послугами</c:v>
                </c:pt>
              </c:strCache>
            </c:strRef>
          </c:tx>
          <c:invertIfNegative val="0"/>
          <c:dLbls>
            <c:dLbl>
              <c:idx val="0"/>
              <c:layout>
                <c:manualLayout>
                  <c:x val="1.7857142857142884E-2"/>
                  <c:y val="-4.05576679340940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7857142857142856E-2"/>
                  <c:y val="-3.041825095057034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3809523809523812E-2"/>
                  <c:y val="-3.041825095057040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Лист1!$B$155:$D$155</c:f>
              <c:strCache>
                <c:ptCount val="3"/>
                <c:pt idx="0">
                  <c:v>2015 рік</c:v>
                </c:pt>
                <c:pt idx="1">
                  <c:v>2016 рік</c:v>
                </c:pt>
                <c:pt idx="2">
                  <c:v>7 міс.2017 року</c:v>
                </c:pt>
              </c:strCache>
            </c:strRef>
          </c:cat>
          <c:val>
            <c:numRef>
              <c:f>Лист1!$B$156:$D$156</c:f>
              <c:numCache>
                <c:formatCode>General</c:formatCode>
                <c:ptCount val="3"/>
                <c:pt idx="0">
                  <c:v>39</c:v>
                </c:pt>
                <c:pt idx="1">
                  <c:v>58</c:v>
                </c:pt>
                <c:pt idx="2">
                  <c:v>63</c:v>
                </c:pt>
              </c:numCache>
            </c:numRef>
          </c:val>
        </c:ser>
        <c:dLbls>
          <c:showLegendKey val="0"/>
          <c:showVal val="0"/>
          <c:showCatName val="0"/>
          <c:showSerName val="0"/>
          <c:showPercent val="0"/>
          <c:showBubbleSize val="0"/>
        </c:dLbls>
        <c:gapWidth val="150"/>
        <c:shape val="box"/>
        <c:axId val="502519856"/>
        <c:axId val="502532792"/>
        <c:axId val="0"/>
      </c:bar3DChart>
      <c:catAx>
        <c:axId val="502519856"/>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532792"/>
        <c:crosses val="autoZero"/>
        <c:auto val="1"/>
        <c:lblAlgn val="ctr"/>
        <c:lblOffset val="100"/>
        <c:noMultiLvlLbl val="0"/>
      </c:catAx>
      <c:valAx>
        <c:axId val="502532792"/>
        <c:scaling>
          <c:orientation val="minMax"/>
        </c:scaling>
        <c:delete val="1"/>
        <c:axPos val="l"/>
        <c:numFmt formatCode="General" sourceLinked="1"/>
        <c:majorTickMark val="out"/>
        <c:minorTickMark val="none"/>
        <c:tickLblPos val="none"/>
        <c:crossAx val="502519856"/>
        <c:crosses val="autoZero"/>
        <c:crossBetween val="between"/>
      </c:valAx>
    </c:plotArea>
    <c:plotVisOnly val="1"/>
    <c:dispBlanksAs val="gap"/>
    <c:showDLblsOverMax val="0"/>
  </c:chart>
  <c:spPr>
    <a:ln>
      <a:noFill/>
    </a:ln>
  </c:spPr>
  <c:externalData r:id="rId1">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latin typeface="Times New Roman" pitchFamily="18" charset="0"/>
                <a:cs typeface="Times New Roman" pitchFamily="18" charset="0"/>
              </a:defRPr>
            </a:pPr>
            <a:r>
              <a:rPr lang="ru-RU" sz="1100">
                <a:latin typeface="Times New Roman" pitchFamily="18" charset="0"/>
                <a:cs typeface="Times New Roman" pitchFamily="18" charset="0"/>
              </a:rPr>
              <a:t>Питома вага бездомних осіб, які інтегровані в суспільство, %</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4.8629531388152056E-2"/>
          <c:y val="0.29375000000000001"/>
          <c:w val="0.90274093722369886"/>
          <c:h val="0.46013888888888882"/>
        </c:manualLayout>
      </c:layout>
      <c:bar3DChart>
        <c:barDir val="col"/>
        <c:grouping val="clustered"/>
        <c:varyColors val="0"/>
        <c:ser>
          <c:idx val="0"/>
          <c:order val="0"/>
          <c:tx>
            <c:strRef>
              <c:f>Лист1!$A$165</c:f>
              <c:strCache>
                <c:ptCount val="1"/>
                <c:pt idx="0">
                  <c:v>Питома вага бездомних осіб, які інтегровані в суспільство</c:v>
                </c:pt>
              </c:strCache>
            </c:strRef>
          </c:tx>
          <c:invertIfNegative val="0"/>
          <c:dLbls>
            <c:dLbl>
              <c:idx val="0"/>
              <c:layout>
                <c:manualLayout>
                  <c:x val="1.9138755980861243E-2"/>
                  <c:y val="-1.834862385321102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328548644338107E-2"/>
                  <c:y val="-3.6697247706422249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Лист1!$B$164:$C$164</c:f>
              <c:strCache>
                <c:ptCount val="2"/>
                <c:pt idx="0">
                  <c:v>2016 рік</c:v>
                </c:pt>
                <c:pt idx="1">
                  <c:v>7 міс. 2017 року</c:v>
                </c:pt>
              </c:strCache>
            </c:strRef>
          </c:cat>
          <c:val>
            <c:numRef>
              <c:f>Лист1!$B$165:$C$165</c:f>
              <c:numCache>
                <c:formatCode>General</c:formatCode>
                <c:ptCount val="2"/>
                <c:pt idx="0">
                  <c:v>7</c:v>
                </c:pt>
                <c:pt idx="1">
                  <c:v>2</c:v>
                </c:pt>
              </c:numCache>
            </c:numRef>
          </c:val>
        </c:ser>
        <c:dLbls>
          <c:showLegendKey val="0"/>
          <c:showVal val="0"/>
          <c:showCatName val="0"/>
          <c:showSerName val="0"/>
          <c:showPercent val="0"/>
          <c:showBubbleSize val="0"/>
        </c:dLbls>
        <c:gapWidth val="150"/>
        <c:shape val="box"/>
        <c:axId val="502528088"/>
        <c:axId val="502529656"/>
        <c:axId val="0"/>
      </c:bar3DChart>
      <c:catAx>
        <c:axId val="502528088"/>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529656"/>
        <c:crosses val="autoZero"/>
        <c:auto val="1"/>
        <c:lblAlgn val="ctr"/>
        <c:lblOffset val="100"/>
        <c:noMultiLvlLbl val="0"/>
      </c:catAx>
      <c:valAx>
        <c:axId val="502529656"/>
        <c:scaling>
          <c:orientation val="minMax"/>
        </c:scaling>
        <c:delete val="1"/>
        <c:axPos val="l"/>
        <c:numFmt formatCode="General" sourceLinked="1"/>
        <c:majorTickMark val="out"/>
        <c:minorTickMark val="none"/>
        <c:tickLblPos val="none"/>
        <c:crossAx val="502528088"/>
        <c:crosses val="autoZero"/>
        <c:crossBetween val="between"/>
      </c:valAx>
    </c:plotArea>
    <c:plotVisOnly val="1"/>
    <c:dispBlanksAs val="gap"/>
    <c:showDLblsOverMax val="0"/>
  </c:chart>
  <c:spPr>
    <a:ln>
      <a:noFill/>
    </a:ln>
  </c:spPr>
  <c:externalData r:id="rId1">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300">
                <a:latin typeface="Times New Roman" pitchFamily="18" charset="0"/>
                <a:cs typeface="Times New Roman" pitchFamily="18" charset="0"/>
              </a:rPr>
              <a:t>Кількість учасників АТО та членів їх сімей, які перебувають</a:t>
            </a:r>
            <a:r>
              <a:rPr lang="ru-RU" sz="1300" baseline="0">
                <a:latin typeface="Times New Roman" pitchFamily="18" charset="0"/>
                <a:cs typeface="Times New Roman" pitchFamily="18" charset="0"/>
              </a:rPr>
              <a:t> на обліку і Центрі соціальної допомоги учасникам АТО, осіб</a:t>
            </a:r>
            <a:endParaRPr lang="ru-RU" sz="1300">
              <a:latin typeface="Times New Roman" pitchFamily="18" charset="0"/>
              <a:cs typeface="Times New Roman" pitchFamily="18" charset="0"/>
            </a:endParaRP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3.0555555555555582E-2"/>
          <c:y val="0.29673862054645983"/>
          <c:w val="0.64712643678160964"/>
          <c:h val="0.53918734166294147"/>
        </c:manualLayout>
      </c:layout>
      <c:bar3DChart>
        <c:barDir val="col"/>
        <c:grouping val="clustered"/>
        <c:varyColors val="0"/>
        <c:ser>
          <c:idx val="0"/>
          <c:order val="0"/>
          <c:tx>
            <c:strRef>
              <c:f>Лист1!$A$58</c:f>
              <c:strCache>
                <c:ptCount val="1"/>
                <c:pt idx="0">
                  <c:v>Кількість учасників АТО</c:v>
                </c:pt>
              </c:strCache>
            </c:strRef>
          </c:tx>
          <c:invertIfNegative val="0"/>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Лист1!$B$57:$D$57</c:f>
              <c:strCache>
                <c:ptCount val="3"/>
                <c:pt idx="0">
                  <c:v>2015 рік</c:v>
                </c:pt>
                <c:pt idx="1">
                  <c:v>2016 рік</c:v>
                </c:pt>
                <c:pt idx="2">
                  <c:v>7 міс. 2017 року</c:v>
                </c:pt>
              </c:strCache>
            </c:strRef>
          </c:cat>
          <c:val>
            <c:numRef>
              <c:f>Лист1!$B$58:$D$58</c:f>
              <c:numCache>
                <c:formatCode>General</c:formatCode>
                <c:ptCount val="3"/>
                <c:pt idx="0">
                  <c:v>230</c:v>
                </c:pt>
                <c:pt idx="1">
                  <c:v>571</c:v>
                </c:pt>
                <c:pt idx="2">
                  <c:v>615</c:v>
                </c:pt>
              </c:numCache>
            </c:numRef>
          </c:val>
        </c:ser>
        <c:ser>
          <c:idx val="1"/>
          <c:order val="1"/>
          <c:tx>
            <c:strRef>
              <c:f>Лист1!$A$59</c:f>
              <c:strCache>
                <c:ptCount val="1"/>
                <c:pt idx="0">
                  <c:v>Кількість сімей військовослужбовців АТО</c:v>
                </c:pt>
              </c:strCache>
            </c:strRef>
          </c:tx>
          <c:spPr>
            <a:solidFill>
              <a:schemeClr val="accent3"/>
            </a:solidFill>
          </c:spPr>
          <c:invertIfNegative val="0"/>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Лист1!$B$57:$D$57</c:f>
              <c:strCache>
                <c:ptCount val="3"/>
                <c:pt idx="0">
                  <c:v>2015 рік</c:v>
                </c:pt>
                <c:pt idx="1">
                  <c:v>2016 рік</c:v>
                </c:pt>
                <c:pt idx="2">
                  <c:v>7 міс. 2017 року</c:v>
                </c:pt>
              </c:strCache>
            </c:strRef>
          </c:cat>
          <c:val>
            <c:numRef>
              <c:f>Лист1!$B$59:$D$59</c:f>
              <c:numCache>
                <c:formatCode>General</c:formatCode>
                <c:ptCount val="3"/>
                <c:pt idx="0">
                  <c:v>1204</c:v>
                </c:pt>
                <c:pt idx="1">
                  <c:v>1593</c:v>
                </c:pt>
                <c:pt idx="2">
                  <c:v>1781</c:v>
                </c:pt>
              </c:numCache>
            </c:numRef>
          </c:val>
        </c:ser>
        <c:dLbls>
          <c:showLegendKey val="0"/>
          <c:showVal val="0"/>
          <c:showCatName val="0"/>
          <c:showSerName val="0"/>
          <c:showPercent val="0"/>
          <c:showBubbleSize val="0"/>
        </c:dLbls>
        <c:gapWidth val="150"/>
        <c:shape val="box"/>
        <c:axId val="502532008"/>
        <c:axId val="502525344"/>
        <c:axId val="0"/>
      </c:bar3DChart>
      <c:catAx>
        <c:axId val="502532008"/>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525344"/>
        <c:crosses val="autoZero"/>
        <c:auto val="1"/>
        <c:lblAlgn val="ctr"/>
        <c:lblOffset val="100"/>
        <c:noMultiLvlLbl val="0"/>
      </c:catAx>
      <c:valAx>
        <c:axId val="502525344"/>
        <c:scaling>
          <c:orientation val="minMax"/>
        </c:scaling>
        <c:delete val="1"/>
        <c:axPos val="l"/>
        <c:numFmt formatCode="General" sourceLinked="1"/>
        <c:majorTickMark val="out"/>
        <c:minorTickMark val="none"/>
        <c:tickLblPos val="none"/>
        <c:crossAx val="502532008"/>
        <c:crosses val="autoZero"/>
        <c:crossBetween val="between"/>
      </c:valAx>
    </c:plotArea>
    <c:legend>
      <c:legendPos val="r"/>
      <c:layout>
        <c:manualLayout>
          <c:xMode val="edge"/>
          <c:yMode val="edge"/>
          <c:x val="0.66388888888890063"/>
          <c:y val="0.3199420384951881"/>
          <c:w val="0.31944444444445136"/>
          <c:h val="0.36011592300963036"/>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300">
                <a:latin typeface="Times New Roman" pitchFamily="18" charset="0"/>
                <a:cs typeface="Times New Roman" pitchFamily="18" charset="0"/>
              </a:rPr>
              <a:t>Кількість наданих соціальних послуг учасникам АТО та членам їх сімей, од.</a:t>
            </a:r>
          </a:p>
        </c:rich>
      </c:tx>
      <c:layout>
        <c:manualLayout>
          <c:xMode val="edge"/>
          <c:yMode val="edge"/>
          <c:x val="0.15187489063867016"/>
          <c:y val="3.7037037037037056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
          <c:y val="0.32020130092434562"/>
          <c:w val="0.95143487858720011"/>
          <c:h val="0.47957274905854685"/>
        </c:manualLayout>
      </c:layout>
      <c:bar3DChart>
        <c:barDir val="col"/>
        <c:grouping val="clustered"/>
        <c:varyColors val="0"/>
        <c:ser>
          <c:idx val="1"/>
          <c:order val="0"/>
          <c:spPr>
            <a:solidFill>
              <a:srgbClr val="9BBB59"/>
            </a:solidFill>
          </c:spPr>
          <c:invertIfNegative val="0"/>
          <c:dLbls>
            <c:dLbl>
              <c:idx val="0"/>
              <c:layout>
                <c:manualLayout>
                  <c:x val="2.5000000000000001E-2"/>
                  <c:y val="-4.166666666666666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4999999999999949E-2"/>
                  <c:y val="-2.777777777777876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222222222222251E-2"/>
                  <c:y val="-4.166666666666666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Лист1!$B$70:$D$70</c:f>
              <c:strCache>
                <c:ptCount val="3"/>
                <c:pt idx="0">
                  <c:v>2015 рік</c:v>
                </c:pt>
                <c:pt idx="1">
                  <c:v>2016 рік</c:v>
                </c:pt>
                <c:pt idx="2">
                  <c:v>7 міс. 2017 року</c:v>
                </c:pt>
              </c:strCache>
            </c:strRef>
          </c:cat>
          <c:val>
            <c:numRef>
              <c:f>Лист1!$B$71:$D$71</c:f>
              <c:numCache>
                <c:formatCode>General</c:formatCode>
                <c:ptCount val="3"/>
                <c:pt idx="0">
                  <c:v>6652</c:v>
                </c:pt>
                <c:pt idx="1">
                  <c:v>26445</c:v>
                </c:pt>
                <c:pt idx="2">
                  <c:v>10134</c:v>
                </c:pt>
              </c:numCache>
            </c:numRef>
          </c:val>
        </c:ser>
        <c:dLbls>
          <c:showLegendKey val="0"/>
          <c:showVal val="0"/>
          <c:showCatName val="0"/>
          <c:showSerName val="0"/>
          <c:showPercent val="0"/>
          <c:showBubbleSize val="0"/>
        </c:dLbls>
        <c:gapWidth val="150"/>
        <c:shape val="box"/>
        <c:axId val="502534360"/>
        <c:axId val="502528872"/>
        <c:axId val="0"/>
      </c:bar3DChart>
      <c:catAx>
        <c:axId val="502534360"/>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528872"/>
        <c:crosses val="autoZero"/>
        <c:auto val="1"/>
        <c:lblAlgn val="ctr"/>
        <c:lblOffset val="100"/>
        <c:noMultiLvlLbl val="0"/>
      </c:catAx>
      <c:valAx>
        <c:axId val="502528872"/>
        <c:scaling>
          <c:orientation val="minMax"/>
        </c:scaling>
        <c:delete val="1"/>
        <c:axPos val="l"/>
        <c:numFmt formatCode="General" sourceLinked="1"/>
        <c:majorTickMark val="out"/>
        <c:minorTickMark val="none"/>
        <c:tickLblPos val="none"/>
        <c:crossAx val="502534360"/>
        <c:crosses val="autoZero"/>
        <c:crossBetween val="between"/>
      </c:valAx>
    </c:plotArea>
    <c:plotVisOnly val="1"/>
    <c:dispBlanksAs val="gap"/>
    <c:showDLblsOverMax val="0"/>
  </c:chart>
  <c:spPr>
    <a:ln>
      <a:noFill/>
    </a:ln>
  </c:spPr>
  <c:externalData r:id="rId1">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300">
                <a:latin typeface="Times New Roman" pitchFamily="18" charset="0"/>
                <a:cs typeface="Times New Roman" pitchFamily="18" charset="0"/>
              </a:rPr>
              <a:t>Кількість оздоровлених учасників АТО та членів їх сімей, осіб</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
          <c:y val="0.26736280124076311"/>
          <c:w val="1"/>
          <c:h val="0.50203113815319456"/>
        </c:manualLayout>
      </c:layout>
      <c:bar3DChart>
        <c:barDir val="col"/>
        <c:grouping val="clustered"/>
        <c:varyColors val="0"/>
        <c:ser>
          <c:idx val="0"/>
          <c:order val="0"/>
          <c:tx>
            <c:strRef>
              <c:f>Лист1!$A$85</c:f>
              <c:strCache>
                <c:ptCount val="1"/>
              </c:strCache>
            </c:strRef>
          </c:tx>
          <c:invertIfNegative val="0"/>
          <c:dLbls>
            <c:dLbl>
              <c:idx val="0"/>
              <c:layout>
                <c:manualLayout>
                  <c:x val="1.6666666666666701E-2"/>
                  <c:y val="-3.703703703703705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111111111111125E-2"/>
                  <c:y val="-3.240740740740818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3888888888889185E-2"/>
                  <c:y val="-3.240740740740814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Лист1!$B$84:$D$84</c:f>
              <c:strCache>
                <c:ptCount val="3"/>
                <c:pt idx="0">
                  <c:v>2015 рік</c:v>
                </c:pt>
                <c:pt idx="1">
                  <c:v>2016 рік </c:v>
                </c:pt>
                <c:pt idx="2">
                  <c:v>7 міс. 2017 року </c:v>
                </c:pt>
              </c:strCache>
            </c:strRef>
          </c:cat>
          <c:val>
            <c:numRef>
              <c:f>Лист1!$B$85:$D$85</c:f>
              <c:numCache>
                <c:formatCode>General</c:formatCode>
                <c:ptCount val="3"/>
                <c:pt idx="0">
                  <c:v>362</c:v>
                </c:pt>
                <c:pt idx="1">
                  <c:v>379</c:v>
                </c:pt>
                <c:pt idx="2">
                  <c:v>408</c:v>
                </c:pt>
              </c:numCache>
            </c:numRef>
          </c:val>
        </c:ser>
        <c:dLbls>
          <c:showLegendKey val="0"/>
          <c:showVal val="0"/>
          <c:showCatName val="0"/>
          <c:showSerName val="0"/>
          <c:showPercent val="0"/>
          <c:showBubbleSize val="0"/>
        </c:dLbls>
        <c:gapWidth val="150"/>
        <c:shape val="cylinder"/>
        <c:axId val="502532400"/>
        <c:axId val="502534752"/>
        <c:axId val="0"/>
      </c:bar3DChart>
      <c:catAx>
        <c:axId val="502532400"/>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534752"/>
        <c:crosses val="autoZero"/>
        <c:auto val="1"/>
        <c:lblAlgn val="ctr"/>
        <c:lblOffset val="100"/>
        <c:noMultiLvlLbl val="0"/>
      </c:catAx>
      <c:valAx>
        <c:axId val="502534752"/>
        <c:scaling>
          <c:orientation val="minMax"/>
        </c:scaling>
        <c:delete val="1"/>
        <c:axPos val="l"/>
        <c:numFmt formatCode="General" sourceLinked="1"/>
        <c:majorTickMark val="out"/>
        <c:minorTickMark val="none"/>
        <c:tickLblPos val="none"/>
        <c:crossAx val="502532400"/>
        <c:crosses val="autoZero"/>
        <c:crossBetween val="between"/>
      </c:valAx>
    </c:plotArea>
    <c:plotVisOnly val="1"/>
    <c:dispBlanksAs val="gap"/>
    <c:showDLblsOverMax val="0"/>
  </c:chart>
  <c:spPr>
    <a:ln>
      <a:noFill/>
    </a:ln>
  </c:spPr>
  <c:externalData r:id="rId1">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aseline="0">
                <a:latin typeface="Times New Roman" pitchFamily="18" charset="0"/>
                <a:cs typeface="Times New Roman" pitchFamily="18" charset="0"/>
              </a:defRPr>
            </a:pPr>
            <a:r>
              <a:rPr lang="ru-RU" sz="1300" baseline="0">
                <a:latin typeface="Times New Roman" pitchFamily="18" charset="0"/>
                <a:cs typeface="Times New Roman" pitchFamily="18" charset="0"/>
              </a:rPr>
              <a:t>Кількість домогосподарств, яким призначені субсидії на відшкодування оплати житлово-комунальних послуг, тис. од</a:t>
            </a:r>
            <a:r>
              <a:rPr lang="en-US" sz="1300" baseline="0">
                <a:latin typeface="Times New Roman" pitchFamily="18" charset="0"/>
                <a:cs typeface="Times New Roman" pitchFamily="18" charset="0"/>
              </a:rPr>
              <a:t>.</a:t>
            </a:r>
            <a:endParaRPr lang="ru-RU" sz="1300" baseline="0">
              <a:latin typeface="Times New Roman" pitchFamily="18" charset="0"/>
              <a:cs typeface="Times New Roman" pitchFamily="18" charset="0"/>
            </a:endParaRP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3.6124785404035166E-2"/>
          <c:y val="0.30623328083989532"/>
          <c:w val="0.92775042919192952"/>
          <c:h val="0.4950651968503938"/>
        </c:manualLayout>
      </c:layout>
      <c:bar3DChart>
        <c:barDir val="col"/>
        <c:grouping val="clustered"/>
        <c:varyColors val="0"/>
        <c:ser>
          <c:idx val="0"/>
          <c:order val="0"/>
          <c:invertIfNegative val="0"/>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Лист1!$B$171:$E$171</c:f>
              <c:strCache>
                <c:ptCount val="4"/>
                <c:pt idx="0">
                  <c:v>2014 рік</c:v>
                </c:pt>
                <c:pt idx="1">
                  <c:v>2015 рік </c:v>
                </c:pt>
                <c:pt idx="2">
                  <c:v>2016 рік</c:v>
                </c:pt>
                <c:pt idx="3">
                  <c:v>6 міс. 2017 року</c:v>
                </c:pt>
              </c:strCache>
            </c:strRef>
          </c:cat>
          <c:val>
            <c:numRef>
              <c:f>Лист1!$B$172:$E$172</c:f>
              <c:numCache>
                <c:formatCode>0.0</c:formatCode>
                <c:ptCount val="4"/>
                <c:pt idx="0" formatCode="General">
                  <c:v>10.5</c:v>
                </c:pt>
                <c:pt idx="1">
                  <c:v>47.8</c:v>
                </c:pt>
                <c:pt idx="2" formatCode="General">
                  <c:v>58.8</c:v>
                </c:pt>
                <c:pt idx="3">
                  <c:v>20</c:v>
                </c:pt>
              </c:numCache>
            </c:numRef>
          </c:val>
        </c:ser>
        <c:dLbls>
          <c:showLegendKey val="0"/>
          <c:showVal val="0"/>
          <c:showCatName val="0"/>
          <c:showSerName val="0"/>
          <c:showPercent val="0"/>
          <c:showBubbleSize val="0"/>
        </c:dLbls>
        <c:gapWidth val="150"/>
        <c:shape val="cylinder"/>
        <c:axId val="502530832"/>
        <c:axId val="502533184"/>
        <c:axId val="0"/>
      </c:bar3DChart>
      <c:catAx>
        <c:axId val="502530832"/>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533184"/>
        <c:crosses val="autoZero"/>
        <c:auto val="1"/>
        <c:lblAlgn val="ctr"/>
        <c:lblOffset val="100"/>
        <c:noMultiLvlLbl val="0"/>
      </c:catAx>
      <c:valAx>
        <c:axId val="502533184"/>
        <c:scaling>
          <c:orientation val="minMax"/>
        </c:scaling>
        <c:delete val="1"/>
        <c:axPos val="l"/>
        <c:numFmt formatCode="General" sourceLinked="1"/>
        <c:majorTickMark val="out"/>
        <c:minorTickMark val="none"/>
        <c:tickLblPos val="none"/>
        <c:crossAx val="502530832"/>
        <c:crosses val="autoZero"/>
        <c:crossBetween val="between"/>
      </c:valAx>
    </c:plotArea>
    <c:plotVisOnly val="1"/>
    <c:dispBlanksAs val="gap"/>
    <c:showDLblsOverMax val="0"/>
  </c:chart>
  <c:spPr>
    <a:ln>
      <a:noFill/>
    </a:ln>
  </c:spPr>
  <c:externalData r:id="rId1">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uk-UA" sz="1200">
                <a:latin typeface="Times New Roman" pitchFamily="18" charset="0"/>
                <a:cs typeface="Times New Roman" pitchFamily="18" charset="0"/>
              </a:rPr>
              <a:t>Мережа</a:t>
            </a:r>
            <a:r>
              <a:rPr lang="uk-UA" sz="1200" baseline="0">
                <a:latin typeface="Times New Roman" pitchFamily="18" charset="0"/>
                <a:cs typeface="Times New Roman" pitchFamily="18" charset="0"/>
              </a:rPr>
              <a:t> закладів охорони здоров</a:t>
            </a:r>
            <a:r>
              <a:rPr lang="en-US" sz="1200" baseline="0">
                <a:latin typeface="Times New Roman" pitchFamily="18" charset="0"/>
                <a:cs typeface="Times New Roman" pitchFamily="18" charset="0"/>
              </a:rPr>
              <a:t>'</a:t>
            </a:r>
            <a:r>
              <a:rPr lang="uk-UA" sz="1200" baseline="0">
                <a:latin typeface="Times New Roman" pitchFamily="18" charset="0"/>
                <a:cs typeface="Times New Roman" pitchFamily="18" charset="0"/>
              </a:rPr>
              <a:t>я всіх форм власності, од.</a:t>
            </a:r>
            <a:endParaRPr lang="ru-RU" sz="1200">
              <a:latin typeface="Times New Roman" pitchFamily="18" charset="0"/>
              <a:cs typeface="Times New Roman" pitchFamily="18" charset="0"/>
            </a:endParaRP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invertIfNegative val="0"/>
          <c:dLbls>
            <c:dLbl>
              <c:idx val="0"/>
              <c:layout>
                <c:manualLayout>
                  <c:x val="1.3400335008375472E-2"/>
                  <c:y val="-1.458789204959884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4667783361250733E-3"/>
                  <c:y val="-5.8351568198395315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333891680626204E-3"/>
                  <c:y val="-5.8351568198395315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3400335008375472E-2"/>
                  <c:y val="-8.7527352297596134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1166945840312721E-2"/>
                  <c:y val="-1.458786326407994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1.1166945840312721E-2"/>
                  <c:y val="-8.7526167662778046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Лист1!$B$65:$B$70</c:f>
              <c:strCache>
                <c:ptCount val="6"/>
                <c:pt idx="0">
                  <c:v>Аптеки, аптечні пункти та кіоски</c:v>
                </c:pt>
                <c:pt idx="1">
                  <c:v>Приватні та колективні фізичні і юридичні особи, що надають медичні  послуги</c:v>
                </c:pt>
                <c:pt idx="2">
                  <c:v>Інші медичні заклади державної та комунальної власності</c:v>
                </c:pt>
                <c:pt idx="3">
                  <c:v>Пологовий будинок</c:v>
                </c:pt>
                <c:pt idx="4">
                  <c:v>Самостійні амбулаторно-поліклінічні заклади</c:v>
                </c:pt>
                <c:pt idx="5">
                  <c:v>Лікарняні заклади в т.ч.  диспансери</c:v>
                </c:pt>
              </c:strCache>
            </c:strRef>
          </c:cat>
          <c:val>
            <c:numRef>
              <c:f>Лист1!$C$65:$C$70</c:f>
              <c:numCache>
                <c:formatCode>General</c:formatCode>
                <c:ptCount val="6"/>
                <c:pt idx="0">
                  <c:v>172</c:v>
                </c:pt>
                <c:pt idx="1">
                  <c:v>110</c:v>
                </c:pt>
                <c:pt idx="2">
                  <c:v>14</c:v>
                </c:pt>
                <c:pt idx="3">
                  <c:v>1</c:v>
                </c:pt>
                <c:pt idx="4">
                  <c:v>10</c:v>
                </c:pt>
                <c:pt idx="5">
                  <c:v>9</c:v>
                </c:pt>
              </c:numCache>
            </c:numRef>
          </c:val>
        </c:ser>
        <c:dLbls>
          <c:showLegendKey val="0"/>
          <c:showVal val="0"/>
          <c:showCatName val="0"/>
          <c:showSerName val="0"/>
          <c:showPercent val="0"/>
          <c:showBubbleSize val="0"/>
        </c:dLbls>
        <c:gapWidth val="150"/>
        <c:shape val="box"/>
        <c:axId val="502522992"/>
        <c:axId val="502525736"/>
        <c:axId val="0"/>
      </c:bar3DChart>
      <c:catAx>
        <c:axId val="502522992"/>
        <c:scaling>
          <c:orientation val="minMax"/>
        </c:scaling>
        <c:delete val="0"/>
        <c:axPos val="l"/>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525736"/>
        <c:crosses val="autoZero"/>
        <c:auto val="1"/>
        <c:lblAlgn val="ctr"/>
        <c:lblOffset val="100"/>
        <c:noMultiLvlLbl val="0"/>
      </c:catAx>
      <c:valAx>
        <c:axId val="502525736"/>
        <c:scaling>
          <c:orientation val="minMax"/>
        </c:scaling>
        <c:delete val="1"/>
        <c:axPos val="b"/>
        <c:numFmt formatCode="General" sourceLinked="1"/>
        <c:majorTickMark val="out"/>
        <c:minorTickMark val="none"/>
        <c:tickLblPos val="none"/>
        <c:crossAx val="502522992"/>
        <c:crosses val="autoZero"/>
        <c:crossBetween val="between"/>
      </c:valAx>
    </c:plotArea>
    <c:plotVisOnly val="1"/>
    <c:dispBlanksAs val="gap"/>
    <c:showDLblsOverMax val="0"/>
  </c:chart>
  <c:spPr>
    <a:ln>
      <a:noFill/>
    </a:ln>
  </c:spPr>
  <c:externalData r:id="rId1">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200">
                <a:latin typeface="Times New Roman" pitchFamily="18" charset="0"/>
                <a:cs typeface="Times New Roman" pitchFamily="18" charset="0"/>
              </a:rPr>
              <a:t>Мережа комунальних закладів охорони здоров</a:t>
            </a:r>
            <a:r>
              <a:rPr lang="en-US" sz="1200">
                <a:latin typeface="Times New Roman" pitchFamily="18" charset="0"/>
                <a:cs typeface="Times New Roman" pitchFamily="18" charset="0"/>
              </a:rPr>
              <a:t>'</a:t>
            </a:r>
            <a:r>
              <a:rPr lang="uk-UA" sz="1200">
                <a:latin typeface="Times New Roman" pitchFamily="18" charset="0"/>
                <a:cs typeface="Times New Roman" pitchFamily="18" charset="0"/>
              </a:rPr>
              <a:t>я, од</a:t>
            </a:r>
            <a:endParaRPr lang="ru-RU" sz="1200">
              <a:latin typeface="Times New Roman" pitchFamily="18" charset="0"/>
              <a:cs typeface="Times New Roman" pitchFamily="18" charset="0"/>
            </a:endParaRPr>
          </a:p>
        </c:rich>
      </c:tx>
      <c:overlay val="0"/>
    </c:title>
    <c:autoTitleDeleted val="0"/>
    <c:plotArea>
      <c:layout>
        <c:manualLayout>
          <c:layoutTarget val="inner"/>
          <c:xMode val="edge"/>
          <c:yMode val="edge"/>
          <c:x val="9.1172737357022055E-2"/>
          <c:y val="0.27249973753280837"/>
          <c:w val="0.46203827292951055"/>
          <c:h val="0.72750026246719368"/>
        </c:manualLayout>
      </c:layout>
      <c:doughnutChart>
        <c:varyColors val="1"/>
        <c:ser>
          <c:idx val="0"/>
          <c:order val="0"/>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Лист1!$B$50:$B$53</c:f>
              <c:strCache>
                <c:ptCount val="4"/>
                <c:pt idx="0">
                  <c:v>Лікарні</c:v>
                </c:pt>
                <c:pt idx="1">
                  <c:v>Поліклініки</c:v>
                </c:pt>
                <c:pt idx="2">
                  <c:v>Стоматологічні поліклініки</c:v>
                </c:pt>
                <c:pt idx="3">
                  <c:v>Амбулаторії сімейного лікаря</c:v>
                </c:pt>
              </c:strCache>
            </c:strRef>
          </c:cat>
          <c:val>
            <c:numRef>
              <c:f>Лист1!$C$50:$C$53</c:f>
              <c:numCache>
                <c:formatCode>General</c:formatCode>
                <c:ptCount val="4"/>
                <c:pt idx="0">
                  <c:v>3</c:v>
                </c:pt>
                <c:pt idx="1">
                  <c:v>7</c:v>
                </c:pt>
                <c:pt idx="2">
                  <c:v>4</c:v>
                </c:pt>
                <c:pt idx="3">
                  <c:v>3</c:v>
                </c:pt>
              </c:numCache>
            </c:numRef>
          </c:val>
        </c:ser>
        <c:dLbls>
          <c:showLegendKey val="0"/>
          <c:showVal val="0"/>
          <c:showCatName val="0"/>
          <c:showSerName val="0"/>
          <c:showPercent val="0"/>
          <c:showBubbleSize val="0"/>
          <c:showLeaderLines val="1"/>
        </c:dLbls>
        <c:firstSliceAng val="0"/>
        <c:holeSize val="50"/>
      </c:doughnutChart>
    </c:plotArea>
    <c:legend>
      <c:legendPos val="r"/>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uk-UA" sz="1200">
                <a:latin typeface="Times New Roman" pitchFamily="18" charset="0"/>
                <a:cs typeface="Times New Roman" pitchFamily="18" charset="0"/>
              </a:rPr>
              <a:t>Кількість</a:t>
            </a:r>
            <a:r>
              <a:rPr lang="uk-UA" sz="1200" baseline="0">
                <a:latin typeface="Times New Roman" pitchFamily="18" charset="0"/>
                <a:cs typeface="Times New Roman" pitchFamily="18" charset="0"/>
              </a:rPr>
              <a:t> підприємств, од.</a:t>
            </a:r>
            <a:endParaRPr lang="uk-UA" sz="1200">
              <a:latin typeface="Times New Roman" pitchFamily="18" charset="0"/>
              <a:cs typeface="Times New Roman" pitchFamily="18" charset="0"/>
            </a:endParaRPr>
          </a:p>
        </c:rich>
      </c:tx>
      <c:layout>
        <c:manualLayout>
          <c:xMode val="edge"/>
          <c:yMode val="edge"/>
          <c:x val="0.23317311327733303"/>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4.5929018789143947E-2"/>
          <c:y val="0.19349593495934991"/>
          <c:w val="0.90814196242171263"/>
          <c:h val="0.61186991869920093"/>
        </c:manualLayout>
      </c:layout>
      <c:bar3DChart>
        <c:barDir val="col"/>
        <c:grouping val="clustered"/>
        <c:varyColors val="0"/>
        <c:ser>
          <c:idx val="0"/>
          <c:order val="0"/>
          <c:invertIfNegative val="0"/>
          <c:dLbls>
            <c:dLbl>
              <c:idx val="0"/>
              <c:layout>
                <c:manualLayout>
                  <c:x val="1.9094888353967814E-2"/>
                  <c:y val="-5.200804444898932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4999999999999949E-2"/>
                  <c:y val="-4.166666666666666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5000000000000001E-2"/>
                  <c:y val="-4.629629629629652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Лист1!$A$81:$A$83</c:f>
              <c:strCache>
                <c:ptCount val="3"/>
                <c:pt idx="0">
                  <c:v>2014 рік </c:v>
                </c:pt>
                <c:pt idx="1">
                  <c:v>2015 рік</c:v>
                </c:pt>
                <c:pt idx="2">
                  <c:v>2016 рік</c:v>
                </c:pt>
              </c:strCache>
            </c:strRef>
          </c:cat>
          <c:val>
            <c:numRef>
              <c:f>Лист1!$B$81:$B$83</c:f>
              <c:numCache>
                <c:formatCode>General</c:formatCode>
                <c:ptCount val="3"/>
                <c:pt idx="0">
                  <c:v>2499</c:v>
                </c:pt>
                <c:pt idx="1">
                  <c:v>2506</c:v>
                </c:pt>
                <c:pt idx="2">
                  <c:v>2297</c:v>
                </c:pt>
              </c:numCache>
            </c:numRef>
          </c:val>
        </c:ser>
        <c:dLbls>
          <c:showLegendKey val="0"/>
          <c:showVal val="0"/>
          <c:showCatName val="0"/>
          <c:showSerName val="0"/>
          <c:showPercent val="0"/>
          <c:showBubbleSize val="0"/>
        </c:dLbls>
        <c:gapWidth val="150"/>
        <c:shape val="cylinder"/>
        <c:axId val="423735624"/>
        <c:axId val="423746600"/>
        <c:axId val="0"/>
      </c:bar3DChart>
      <c:catAx>
        <c:axId val="423735624"/>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423746600"/>
        <c:crosses val="autoZero"/>
        <c:auto val="1"/>
        <c:lblAlgn val="ctr"/>
        <c:lblOffset val="100"/>
        <c:noMultiLvlLbl val="0"/>
      </c:catAx>
      <c:valAx>
        <c:axId val="423746600"/>
        <c:scaling>
          <c:orientation val="minMax"/>
        </c:scaling>
        <c:delete val="1"/>
        <c:axPos val="l"/>
        <c:majorGridlines>
          <c:spPr>
            <a:ln>
              <a:noFill/>
            </a:ln>
          </c:spPr>
        </c:majorGridlines>
        <c:numFmt formatCode="General" sourceLinked="1"/>
        <c:majorTickMark val="out"/>
        <c:minorTickMark val="none"/>
        <c:tickLblPos val="none"/>
        <c:crossAx val="423735624"/>
        <c:crosses val="autoZero"/>
        <c:crossBetween val="between"/>
      </c:valAx>
    </c:plotArea>
    <c:plotVisOnly val="1"/>
    <c:dispBlanksAs val="gap"/>
    <c:showDLblsOverMax val="0"/>
  </c:chart>
  <c:spPr>
    <a:ln>
      <a:noFill/>
    </a:ln>
  </c:spPr>
  <c:externalData r:id="rId2">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Динаміка захворюваності населення (випадків на 100 тис.населення)</a:t>
            </a:r>
          </a:p>
        </c:rich>
      </c:tx>
      <c:overlay val="0"/>
    </c:title>
    <c:autoTitleDeleted val="0"/>
    <c:plotArea>
      <c:layout>
        <c:manualLayout>
          <c:layoutTarget val="inner"/>
          <c:xMode val="edge"/>
          <c:yMode val="edge"/>
          <c:x val="3.0555555555555561E-2"/>
          <c:y val="0.22037037037037038"/>
          <c:w val="0.88083333333333369"/>
          <c:h val="0.66364975211431976"/>
        </c:manualLayout>
      </c:layout>
      <c:lineChart>
        <c:grouping val="standard"/>
        <c:varyColors val="0"/>
        <c:ser>
          <c:idx val="0"/>
          <c:order val="0"/>
          <c:tx>
            <c:strRef>
              <c:f>Лист1!$B$76</c:f>
              <c:strCache>
                <c:ptCount val="1"/>
                <c:pt idx="0">
                  <c:v>Захворюваність, випадків</c:v>
                </c:pt>
              </c:strCache>
            </c:strRef>
          </c:tx>
          <c:spPr>
            <a:ln cap="sq">
              <a:miter lim="800000"/>
            </a:ln>
          </c:spPr>
          <c:marker>
            <c:symbol val="diamond"/>
            <c:size val="5"/>
            <c:spPr>
              <a:solidFill>
                <a:schemeClr val="accent1"/>
              </a:solidFill>
            </c:spPr>
          </c:marker>
          <c:dLbls>
            <c:dLbl>
              <c:idx val="0"/>
              <c:layout>
                <c:manualLayout>
                  <c:x val="-0.1"/>
                  <c:y val="-6.018518518518516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5.8333333333333369E-2"/>
                  <c:y val="-6.9444444444444475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9999999999999968E-2"/>
                  <c:y val="5.555555555555552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7777777777777809E-3"/>
                  <c:y val="4.1666666666666664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5000000000000001E-2"/>
                  <c:y val="-6.018518518518516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Лист1!$C$75:$G$75</c:f>
              <c:strCache>
                <c:ptCount val="5"/>
                <c:pt idx="0">
                  <c:v>2012 рік</c:v>
                </c:pt>
                <c:pt idx="1">
                  <c:v>2013 рік</c:v>
                </c:pt>
                <c:pt idx="2">
                  <c:v>2014 рік</c:v>
                </c:pt>
                <c:pt idx="3">
                  <c:v>2015 рік</c:v>
                </c:pt>
                <c:pt idx="4">
                  <c:v>2016 рік</c:v>
                </c:pt>
              </c:strCache>
            </c:strRef>
          </c:cat>
          <c:val>
            <c:numRef>
              <c:f>Лист1!$C$76:$G$76</c:f>
              <c:numCache>
                <c:formatCode>General</c:formatCode>
                <c:ptCount val="5"/>
                <c:pt idx="0">
                  <c:v>71155</c:v>
                </c:pt>
                <c:pt idx="1">
                  <c:v>73185</c:v>
                </c:pt>
                <c:pt idx="2">
                  <c:v>69785</c:v>
                </c:pt>
                <c:pt idx="3">
                  <c:v>75856</c:v>
                </c:pt>
                <c:pt idx="4">
                  <c:v>80497</c:v>
                </c:pt>
              </c:numCache>
            </c:numRef>
          </c:val>
          <c:smooth val="0"/>
        </c:ser>
        <c:dLbls>
          <c:showLegendKey val="0"/>
          <c:showVal val="0"/>
          <c:showCatName val="0"/>
          <c:showSerName val="0"/>
          <c:showPercent val="0"/>
          <c:showBubbleSize val="0"/>
        </c:dLbls>
        <c:marker val="1"/>
        <c:smooth val="0"/>
        <c:axId val="502523384"/>
        <c:axId val="502526128"/>
      </c:lineChart>
      <c:catAx>
        <c:axId val="502523384"/>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502526128"/>
        <c:crosses val="autoZero"/>
        <c:auto val="1"/>
        <c:lblAlgn val="ctr"/>
        <c:lblOffset val="100"/>
        <c:noMultiLvlLbl val="0"/>
      </c:catAx>
      <c:valAx>
        <c:axId val="502526128"/>
        <c:scaling>
          <c:orientation val="minMax"/>
        </c:scaling>
        <c:delete val="1"/>
        <c:axPos val="l"/>
        <c:numFmt formatCode="General" sourceLinked="1"/>
        <c:majorTickMark val="out"/>
        <c:minorTickMark val="none"/>
        <c:tickLblPos val="none"/>
        <c:crossAx val="502523384"/>
        <c:crosses val="autoZero"/>
        <c:crossBetween val="between"/>
      </c:valAx>
      <c:spPr>
        <a:noFill/>
        <a:ln w="25400">
          <a:noFill/>
        </a:ln>
      </c:spPr>
    </c:plotArea>
    <c:plotVisOnly val="1"/>
    <c:dispBlanksAs val="gap"/>
    <c:showDLblsOverMax val="0"/>
  </c:chart>
  <c:spPr>
    <a:ln>
      <a:noFill/>
    </a:ln>
  </c:spPr>
  <c:externalData r:id="rId1">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Структура причин смертності населення, %</a:t>
            </a:r>
          </a:p>
        </c:rich>
      </c:tx>
      <c:overlay val="0"/>
    </c:title>
    <c:autoTitleDeleted val="0"/>
    <c:view3D>
      <c:rotX val="30"/>
      <c:rotY val="0"/>
      <c:rAngAx val="0"/>
    </c:view3D>
    <c:floor>
      <c:thickness val="0"/>
    </c:floor>
    <c:sideWall>
      <c:thickness val="0"/>
    </c:sideWall>
    <c:backWall>
      <c:thickness val="0"/>
    </c:backWall>
    <c:plotArea>
      <c:layout/>
      <c:pie3DChart>
        <c:varyColors val="1"/>
        <c:ser>
          <c:idx val="0"/>
          <c:order val="0"/>
          <c:explosion val="25"/>
          <c:dLbls>
            <c:dLbl>
              <c:idx val="0"/>
              <c:layout>
                <c:manualLayout>
                  <c:x val="-0.11487620297462819"/>
                  <c:y val="-0.12586275030227964"/>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1888232720910637E-2"/>
                  <c:y val="5.0397346165062702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Лист1!$B$35:$B$38</c:f>
              <c:strCache>
                <c:ptCount val="4"/>
                <c:pt idx="0">
                  <c:v>Хвороби системи кровообігу</c:v>
                </c:pt>
                <c:pt idx="1">
                  <c:v>Новоутворення</c:v>
                </c:pt>
                <c:pt idx="2">
                  <c:v>Травми, отруєння</c:v>
                </c:pt>
                <c:pt idx="3">
                  <c:v>Інші</c:v>
                </c:pt>
              </c:strCache>
            </c:strRef>
          </c:cat>
          <c:val>
            <c:numRef>
              <c:f>Лист1!$C$35:$C$38</c:f>
              <c:numCache>
                <c:formatCode>General</c:formatCode>
                <c:ptCount val="4"/>
                <c:pt idx="0">
                  <c:v>69.900000000000006</c:v>
                </c:pt>
                <c:pt idx="1">
                  <c:v>17.3</c:v>
                </c:pt>
                <c:pt idx="2">
                  <c:v>5.4</c:v>
                </c:pt>
                <c:pt idx="3">
                  <c:v>7.4</c:v>
                </c:pt>
              </c:numCache>
            </c:numRef>
          </c:val>
        </c:ser>
        <c:dLbls>
          <c:showLegendKey val="0"/>
          <c:showVal val="0"/>
          <c:showCatName val="0"/>
          <c:showSerName val="0"/>
          <c:showPercent val="0"/>
          <c:showBubbleSize val="0"/>
          <c:showLeaderLines val="1"/>
        </c:dLbls>
      </c:pie3DChart>
    </c:plotArea>
    <c:legend>
      <c:legendPos val="r"/>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aseline="0">
                <a:latin typeface="Times New Roman" pitchFamily="18" charset="0"/>
                <a:cs typeface="Times New Roman" pitchFamily="18" charset="0"/>
              </a:defRPr>
            </a:pPr>
            <a:r>
              <a:rPr lang="ru-RU" sz="1200" baseline="0">
                <a:latin typeface="Times New Roman" pitchFamily="18" charset="0"/>
                <a:cs typeface="Times New Roman" pitchFamily="18" charset="0"/>
              </a:rPr>
              <a:t>Стан народжуваності і смертності у місті                </a:t>
            </a:r>
          </a:p>
        </c:rich>
      </c:tx>
      <c:layout>
        <c:manualLayout>
          <c:xMode val="edge"/>
          <c:yMode val="edge"/>
          <c:x val="0.15522401523181154"/>
          <c:y val="4.6296296296296523E-2"/>
        </c:manualLayout>
      </c:layout>
      <c:overlay val="0"/>
    </c:title>
    <c:autoTitleDeleted val="0"/>
    <c:plotArea>
      <c:layout/>
      <c:lineChart>
        <c:grouping val="standard"/>
        <c:varyColors val="0"/>
        <c:ser>
          <c:idx val="0"/>
          <c:order val="0"/>
          <c:tx>
            <c:strRef>
              <c:f>Лист1!$A$18:$B$18</c:f>
              <c:strCache>
                <c:ptCount val="1"/>
                <c:pt idx="0">
                  <c:v>Народилося на 1000 осіб</c:v>
                </c:pt>
              </c:strCache>
            </c:strRef>
          </c:tx>
          <c:dLbls>
            <c:dLbl>
              <c:idx val="0"/>
              <c:layout>
                <c:manualLayout>
                  <c:x val="4.8134768254779227E-3"/>
                  <c:y val="-3.240740740740822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Лист1!$C$17:$E$17</c:f>
              <c:strCache>
                <c:ptCount val="3"/>
                <c:pt idx="0">
                  <c:v>2014 рік</c:v>
                </c:pt>
                <c:pt idx="1">
                  <c:v>2015 рік</c:v>
                </c:pt>
                <c:pt idx="2">
                  <c:v>2016 рік</c:v>
                </c:pt>
              </c:strCache>
            </c:strRef>
          </c:cat>
          <c:val>
            <c:numRef>
              <c:f>Лист1!$C$18:$E$18</c:f>
              <c:numCache>
                <c:formatCode>General</c:formatCode>
                <c:ptCount val="3"/>
                <c:pt idx="0">
                  <c:v>11.6</c:v>
                </c:pt>
                <c:pt idx="1">
                  <c:v>10.8</c:v>
                </c:pt>
                <c:pt idx="2" formatCode="0.0">
                  <c:v>10</c:v>
                </c:pt>
              </c:numCache>
            </c:numRef>
          </c:val>
          <c:smooth val="0"/>
        </c:ser>
        <c:ser>
          <c:idx val="1"/>
          <c:order val="1"/>
          <c:tx>
            <c:strRef>
              <c:f>Лист1!$A$19:$B$19</c:f>
              <c:strCache>
                <c:ptCount val="1"/>
                <c:pt idx="0">
                  <c:v>Померло на 1000 осіб</c:v>
                </c:pt>
              </c:strCache>
            </c:strRef>
          </c:tx>
          <c:dLbls>
            <c:dLbl>
              <c:idx val="1"/>
              <c:layout>
                <c:manualLayout>
                  <c:x val="-2.8880860952867581E-2"/>
                  <c:y val="-7.40740740740740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Лист1!$C$17:$E$17</c:f>
              <c:strCache>
                <c:ptCount val="3"/>
                <c:pt idx="0">
                  <c:v>2014 рік</c:v>
                </c:pt>
                <c:pt idx="1">
                  <c:v>2015 рік</c:v>
                </c:pt>
                <c:pt idx="2">
                  <c:v>2016 рік</c:v>
                </c:pt>
              </c:strCache>
            </c:strRef>
          </c:cat>
          <c:val>
            <c:numRef>
              <c:f>Лист1!$C$19:$E$19</c:f>
              <c:numCache>
                <c:formatCode>General</c:formatCode>
                <c:ptCount val="3"/>
                <c:pt idx="0">
                  <c:v>11.2</c:v>
                </c:pt>
                <c:pt idx="1">
                  <c:v>11.8</c:v>
                </c:pt>
                <c:pt idx="2" formatCode="0.0">
                  <c:v>12</c:v>
                </c:pt>
              </c:numCache>
            </c:numRef>
          </c:val>
          <c:smooth val="0"/>
        </c:ser>
        <c:dLbls>
          <c:showLegendKey val="0"/>
          <c:showVal val="0"/>
          <c:showCatName val="0"/>
          <c:showSerName val="0"/>
          <c:showPercent val="0"/>
          <c:showBubbleSize val="0"/>
        </c:dLbls>
        <c:marker val="1"/>
        <c:smooth val="0"/>
        <c:axId val="502530440"/>
        <c:axId val="502523776"/>
      </c:lineChart>
      <c:catAx>
        <c:axId val="502530440"/>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523776"/>
        <c:crosses val="autoZero"/>
        <c:auto val="1"/>
        <c:lblAlgn val="ctr"/>
        <c:lblOffset val="100"/>
        <c:noMultiLvlLbl val="0"/>
      </c:catAx>
      <c:valAx>
        <c:axId val="502523776"/>
        <c:scaling>
          <c:orientation val="minMax"/>
        </c:scaling>
        <c:delete val="1"/>
        <c:axPos val="l"/>
        <c:numFmt formatCode="General" sourceLinked="1"/>
        <c:majorTickMark val="out"/>
        <c:minorTickMark val="none"/>
        <c:tickLblPos val="none"/>
        <c:crossAx val="502530440"/>
        <c:crosses val="autoZero"/>
        <c:crossBetween val="between"/>
      </c:valAx>
    </c:plotArea>
    <c:legend>
      <c:legendPos val="r"/>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Мережа комунальних закладів освіти, од</a:t>
            </a:r>
          </a:p>
        </c:rich>
      </c:tx>
      <c:overlay val="0"/>
    </c:title>
    <c:autoTitleDeleted val="0"/>
    <c:plotArea>
      <c:layout>
        <c:manualLayout>
          <c:layoutTarget val="inner"/>
          <c:xMode val="edge"/>
          <c:yMode val="edge"/>
          <c:x val="0.12943394575678041"/>
          <c:y val="0.2123840769903762"/>
          <c:w val="0.45291688538932823"/>
          <c:h val="0.75486147564888184"/>
        </c:manualLayout>
      </c:layout>
      <c:doughnutChart>
        <c:varyColors val="1"/>
        <c:ser>
          <c:idx val="0"/>
          <c:order val="0"/>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Лист1!$B$5:$B$7</c:f>
              <c:strCache>
                <c:ptCount val="3"/>
                <c:pt idx="0">
                  <c:v>Загальноосвітні навчальні  заклади</c:v>
                </c:pt>
                <c:pt idx="1">
                  <c:v>Дошкільні навчальні заклади, в т.ч. навчально-виховні комплекси</c:v>
                </c:pt>
                <c:pt idx="2">
                  <c:v>Позашкільні навчальні заклади</c:v>
                </c:pt>
              </c:strCache>
            </c:strRef>
          </c:cat>
          <c:val>
            <c:numRef>
              <c:f>Лист1!$C$5:$C$7</c:f>
              <c:numCache>
                <c:formatCode>General</c:formatCode>
                <c:ptCount val="3"/>
                <c:pt idx="0">
                  <c:v>32</c:v>
                </c:pt>
                <c:pt idx="1">
                  <c:v>44</c:v>
                </c:pt>
                <c:pt idx="2">
                  <c:v>6</c:v>
                </c:pt>
              </c:numCache>
            </c:numRef>
          </c:val>
        </c:ser>
        <c:dLbls>
          <c:showLegendKey val="0"/>
          <c:showVal val="0"/>
          <c:showCatName val="0"/>
          <c:showSerName val="0"/>
          <c:showPercent val="0"/>
          <c:showBubbleSize val="0"/>
          <c:showLeaderLines val="1"/>
        </c:dLbls>
        <c:firstSliceAng val="0"/>
        <c:holeSize val="50"/>
      </c:doughnutChart>
    </c:plotArea>
    <c:legend>
      <c:legendPos val="r"/>
      <c:layout>
        <c:manualLayout>
          <c:xMode val="edge"/>
          <c:yMode val="edge"/>
          <c:x val="0.6022322045270655"/>
          <c:y val="0.24150271867878967"/>
          <c:w val="0.37897080299173236"/>
          <c:h val="0.67268028638254262"/>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Денні загальноосвітні навчальні заклади</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Лист1!$B$28</c:f>
              <c:strCache>
                <c:ptCount val="1"/>
                <c:pt idx="0">
                  <c:v>2015-2016 навч.рік</c:v>
                </c:pt>
              </c:strCache>
            </c:strRef>
          </c:tx>
          <c:invertIfNegative val="0"/>
          <c:dLbls>
            <c:dLbl>
              <c:idx val="0"/>
              <c:layout>
                <c:manualLayout>
                  <c:x val="-1.5325670498084401E-2"/>
                  <c:y val="-4.6296296296295504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5977011494252866E-2"/>
                  <c:y val="0"/>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0217113665389528E-2"/>
                  <c:y val="8.4875562720140913E-17"/>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Лист1!$A$29:$A$31</c:f>
              <c:strCache>
                <c:ptCount val="3"/>
                <c:pt idx="0">
                  <c:v>Класи</c:v>
                </c:pt>
                <c:pt idx="1">
                  <c:v>Учні</c:v>
                </c:pt>
                <c:pt idx="2">
                  <c:v>Групи продовженого дня</c:v>
                </c:pt>
              </c:strCache>
            </c:strRef>
          </c:cat>
          <c:val>
            <c:numRef>
              <c:f>Лист1!$B$29:$B$31</c:f>
              <c:numCache>
                <c:formatCode>General</c:formatCode>
                <c:ptCount val="3"/>
                <c:pt idx="0">
                  <c:v>967</c:v>
                </c:pt>
                <c:pt idx="1">
                  <c:v>27162</c:v>
                </c:pt>
                <c:pt idx="2">
                  <c:v>122</c:v>
                </c:pt>
              </c:numCache>
            </c:numRef>
          </c:val>
        </c:ser>
        <c:ser>
          <c:idx val="1"/>
          <c:order val="1"/>
          <c:tx>
            <c:strRef>
              <c:f>Лист1!$C$28</c:f>
              <c:strCache>
                <c:ptCount val="1"/>
                <c:pt idx="0">
                  <c:v>2016-2017 навч.рік</c:v>
                </c:pt>
              </c:strCache>
            </c:strRef>
          </c:tx>
          <c:spPr>
            <a:solidFill>
              <a:schemeClr val="accent4">
                <a:lumMod val="40000"/>
                <a:lumOff val="60000"/>
              </a:schemeClr>
            </a:solidFill>
          </c:spPr>
          <c:invertIfNegative val="0"/>
          <c:dLbls>
            <c:dLbl>
              <c:idx val="2"/>
              <c:layout>
                <c:manualLayout>
                  <c:x val="0"/>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Лист1!$A$29:$A$31</c:f>
              <c:strCache>
                <c:ptCount val="3"/>
                <c:pt idx="0">
                  <c:v>Класи</c:v>
                </c:pt>
                <c:pt idx="1">
                  <c:v>Учні</c:v>
                </c:pt>
                <c:pt idx="2">
                  <c:v>Групи продовженого дня</c:v>
                </c:pt>
              </c:strCache>
            </c:strRef>
          </c:cat>
          <c:val>
            <c:numRef>
              <c:f>Лист1!$C$29:$C$31</c:f>
              <c:numCache>
                <c:formatCode>General</c:formatCode>
                <c:ptCount val="3"/>
                <c:pt idx="0">
                  <c:v>985</c:v>
                </c:pt>
                <c:pt idx="1">
                  <c:v>27896</c:v>
                </c:pt>
                <c:pt idx="2">
                  <c:v>120</c:v>
                </c:pt>
              </c:numCache>
            </c:numRef>
          </c:val>
        </c:ser>
        <c:ser>
          <c:idx val="2"/>
          <c:order val="2"/>
          <c:tx>
            <c:strRef>
              <c:f>Лист1!$D$28</c:f>
              <c:strCache>
                <c:ptCount val="1"/>
                <c:pt idx="0">
                  <c:v>2017-2018 навч.рік</c:v>
                </c:pt>
              </c:strCache>
            </c:strRef>
          </c:tx>
          <c:spPr>
            <a:solidFill>
              <a:schemeClr val="accent3"/>
            </a:solidFill>
          </c:spPr>
          <c:invertIfNegative val="0"/>
          <c:dLbls>
            <c:dLbl>
              <c:idx val="0"/>
              <c:layout>
                <c:manualLayout>
                  <c:x val="2.2988505747126482E-2"/>
                  <c:y val="-8.4875562720140913E-17"/>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3205619412516492E-2"/>
                  <c:y val="0"/>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7879948914431672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Лист1!$A$29:$A$31</c:f>
              <c:strCache>
                <c:ptCount val="3"/>
                <c:pt idx="0">
                  <c:v>Класи</c:v>
                </c:pt>
                <c:pt idx="1">
                  <c:v>Учні</c:v>
                </c:pt>
                <c:pt idx="2">
                  <c:v>Групи продовженого дня</c:v>
                </c:pt>
              </c:strCache>
            </c:strRef>
          </c:cat>
          <c:val>
            <c:numRef>
              <c:f>Лист1!$D$29:$D$31</c:f>
              <c:numCache>
                <c:formatCode>General</c:formatCode>
                <c:ptCount val="3"/>
                <c:pt idx="0">
                  <c:v>1009</c:v>
                </c:pt>
                <c:pt idx="1">
                  <c:v>28909</c:v>
                </c:pt>
                <c:pt idx="2">
                  <c:v>123</c:v>
                </c:pt>
              </c:numCache>
            </c:numRef>
          </c:val>
        </c:ser>
        <c:dLbls>
          <c:showLegendKey val="0"/>
          <c:showVal val="0"/>
          <c:showCatName val="0"/>
          <c:showSerName val="0"/>
          <c:showPercent val="0"/>
          <c:showBubbleSize val="0"/>
        </c:dLbls>
        <c:gapWidth val="150"/>
        <c:shape val="cylinder"/>
        <c:axId val="502526520"/>
        <c:axId val="502526912"/>
        <c:axId val="0"/>
      </c:bar3DChart>
      <c:catAx>
        <c:axId val="502526520"/>
        <c:scaling>
          <c:orientation val="minMax"/>
        </c:scaling>
        <c:delete val="0"/>
        <c:axPos val="b"/>
        <c:numFmt formatCode="General" sourceLinked="0"/>
        <c:majorTickMark val="out"/>
        <c:minorTickMark val="none"/>
        <c:tickLblPos val="nextTo"/>
        <c:txPr>
          <a:bodyPr/>
          <a:lstStyle/>
          <a:p>
            <a:pPr>
              <a:defRPr sz="1000" b="1">
                <a:latin typeface="Times New Roman" pitchFamily="18" charset="0"/>
                <a:cs typeface="Times New Roman" pitchFamily="18" charset="0"/>
              </a:defRPr>
            </a:pPr>
            <a:endParaRPr lang="ru-RU"/>
          </a:p>
        </c:txPr>
        <c:crossAx val="502526912"/>
        <c:crosses val="autoZero"/>
        <c:auto val="1"/>
        <c:lblAlgn val="ctr"/>
        <c:lblOffset val="100"/>
        <c:noMultiLvlLbl val="0"/>
      </c:catAx>
      <c:valAx>
        <c:axId val="502526912"/>
        <c:scaling>
          <c:orientation val="minMax"/>
        </c:scaling>
        <c:delete val="1"/>
        <c:axPos val="l"/>
        <c:numFmt formatCode="General" sourceLinked="1"/>
        <c:majorTickMark val="out"/>
        <c:minorTickMark val="none"/>
        <c:tickLblPos val="none"/>
        <c:crossAx val="502526520"/>
        <c:crosses val="autoZero"/>
        <c:crossBetween val="between"/>
      </c:valAx>
    </c:plotArea>
    <c:legend>
      <c:legendPos val="r"/>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latin typeface="Times New Roman" pitchFamily="18" charset="0"/>
                <a:cs typeface="Times New Roman" pitchFamily="18" charset="0"/>
              </a:rPr>
              <a:t>Дошкільні навчальні заклади</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Лист1!$A$62</c:f>
              <c:strCache>
                <c:ptCount val="1"/>
                <c:pt idx="0">
                  <c:v>Груп</c:v>
                </c:pt>
              </c:strCache>
            </c:strRef>
          </c:tx>
          <c:invertIfNegative val="0"/>
          <c:dLbls>
            <c:dLbl>
              <c:idx val="0"/>
              <c:layout>
                <c:manualLayout>
                  <c:x val="-1.3888888888889023E-2"/>
                  <c:y val="-9.2596237970254576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3888888888889023E-2"/>
                  <c:y val="-4.6299941673958265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5555555555555558E-3"/>
                  <c:y val="-3.6453776611257534E-7"/>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Лист1!$B$61:$D$61</c:f>
              <c:strCache>
                <c:ptCount val="3"/>
                <c:pt idx="0">
                  <c:v>2015-2016 навч.рік</c:v>
                </c:pt>
                <c:pt idx="1">
                  <c:v>2016-2017 навч.рік</c:v>
                </c:pt>
                <c:pt idx="2">
                  <c:v>2017-2018 навч.рік</c:v>
                </c:pt>
              </c:strCache>
            </c:strRef>
          </c:cat>
          <c:val>
            <c:numRef>
              <c:f>Лист1!$B$62:$D$62</c:f>
              <c:numCache>
                <c:formatCode>General</c:formatCode>
                <c:ptCount val="3"/>
                <c:pt idx="0">
                  <c:v>394</c:v>
                </c:pt>
                <c:pt idx="1">
                  <c:v>394</c:v>
                </c:pt>
                <c:pt idx="2">
                  <c:v>406</c:v>
                </c:pt>
              </c:numCache>
            </c:numRef>
          </c:val>
        </c:ser>
        <c:ser>
          <c:idx val="1"/>
          <c:order val="1"/>
          <c:tx>
            <c:strRef>
              <c:f>Лист1!$A$63</c:f>
              <c:strCache>
                <c:ptCount val="1"/>
                <c:pt idx="0">
                  <c:v>Вихованців</c:v>
                </c:pt>
              </c:strCache>
            </c:strRef>
          </c:tx>
          <c:spPr>
            <a:solidFill>
              <a:schemeClr val="accent3"/>
            </a:solidFill>
          </c:spPr>
          <c:invertIfNegative val="0"/>
          <c:dLbls>
            <c:dLbl>
              <c:idx val="0"/>
              <c:layout>
                <c:manualLayout>
                  <c:x val="2.7777777777778247E-3"/>
                  <c:y val="-2.314851268591445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111111111111165E-2"/>
                  <c:y val="-1.851851851851858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1111111111111125E-2"/>
                  <c:y val="-9.2592592592593819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Лист1!$B$61:$D$61</c:f>
              <c:strCache>
                <c:ptCount val="3"/>
                <c:pt idx="0">
                  <c:v>2015-2016 навч.рік</c:v>
                </c:pt>
                <c:pt idx="1">
                  <c:v>2016-2017 навч.рік</c:v>
                </c:pt>
                <c:pt idx="2">
                  <c:v>2017-2018 навч.рік</c:v>
                </c:pt>
              </c:strCache>
            </c:strRef>
          </c:cat>
          <c:val>
            <c:numRef>
              <c:f>Лист1!$B$63:$D$63</c:f>
              <c:numCache>
                <c:formatCode>General</c:formatCode>
                <c:ptCount val="3"/>
                <c:pt idx="0">
                  <c:v>11618</c:v>
                </c:pt>
                <c:pt idx="1">
                  <c:v>11790</c:v>
                </c:pt>
                <c:pt idx="2">
                  <c:v>12018</c:v>
                </c:pt>
              </c:numCache>
            </c:numRef>
          </c:val>
        </c:ser>
        <c:dLbls>
          <c:showLegendKey val="0"/>
          <c:showVal val="0"/>
          <c:showCatName val="0"/>
          <c:showSerName val="0"/>
          <c:showPercent val="0"/>
          <c:showBubbleSize val="0"/>
        </c:dLbls>
        <c:gapWidth val="150"/>
        <c:shape val="box"/>
        <c:axId val="502537888"/>
        <c:axId val="502537496"/>
        <c:axId val="0"/>
      </c:bar3DChart>
      <c:catAx>
        <c:axId val="502537888"/>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537496"/>
        <c:crosses val="autoZero"/>
        <c:auto val="1"/>
        <c:lblAlgn val="ctr"/>
        <c:lblOffset val="100"/>
        <c:noMultiLvlLbl val="0"/>
      </c:catAx>
      <c:valAx>
        <c:axId val="502537496"/>
        <c:scaling>
          <c:orientation val="minMax"/>
        </c:scaling>
        <c:delete val="1"/>
        <c:axPos val="l"/>
        <c:numFmt formatCode="General" sourceLinked="1"/>
        <c:majorTickMark val="out"/>
        <c:minorTickMark val="none"/>
        <c:tickLblPos val="none"/>
        <c:crossAx val="502537888"/>
        <c:crosses val="autoZero"/>
        <c:crossBetween val="between"/>
      </c:valAx>
    </c:plotArea>
    <c:legend>
      <c:legendPos val="r"/>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aseline="0">
                <a:latin typeface="Times New Roman" pitchFamily="18" charset="0"/>
                <a:cs typeface="Times New Roman" pitchFamily="18" charset="0"/>
              </a:defRPr>
            </a:pPr>
            <a:r>
              <a:rPr lang="ru-RU" sz="1200" baseline="0">
                <a:latin typeface="Times New Roman" pitchFamily="18" charset="0"/>
                <a:cs typeface="Times New Roman" pitchFamily="18" charset="0"/>
              </a:rPr>
              <a:t>Кількість дітей у  дошкільних навчальних закладах на 100 місць, осіб</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1"/>
          <c:order val="0"/>
          <c:spPr>
            <a:solidFill>
              <a:schemeClr val="accent1"/>
            </a:solidFill>
          </c:spPr>
          <c:invertIfNegative val="0"/>
          <c:dLbls>
            <c:dLbl>
              <c:idx val="0"/>
              <c:layout>
                <c:manualLayout>
                  <c:x val="1.1111111111111125E-2"/>
                  <c:y val="-3.2407407407407482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222222222222251E-2"/>
                  <c:y val="-2.777777777777785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9444444444444445E-2"/>
                  <c:y val="-2.777777777777787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Лист1!$A$101:$C$101</c:f>
              <c:strCache>
                <c:ptCount val="3"/>
                <c:pt idx="0">
                  <c:v>2015 рік</c:v>
                </c:pt>
                <c:pt idx="1">
                  <c:v>2016 рік</c:v>
                </c:pt>
                <c:pt idx="2">
                  <c:v>2017 рік</c:v>
                </c:pt>
              </c:strCache>
            </c:strRef>
          </c:cat>
          <c:val>
            <c:numRef>
              <c:f>Лист1!$A$102:$C$102</c:f>
              <c:numCache>
                <c:formatCode>General</c:formatCode>
                <c:ptCount val="3"/>
                <c:pt idx="0">
                  <c:v>149</c:v>
                </c:pt>
                <c:pt idx="1">
                  <c:v>153</c:v>
                </c:pt>
                <c:pt idx="2">
                  <c:v>153</c:v>
                </c:pt>
              </c:numCache>
            </c:numRef>
          </c:val>
        </c:ser>
        <c:dLbls>
          <c:showLegendKey val="0"/>
          <c:showVal val="0"/>
          <c:showCatName val="0"/>
          <c:showSerName val="0"/>
          <c:showPercent val="0"/>
          <c:showBubbleSize val="0"/>
        </c:dLbls>
        <c:gapWidth val="150"/>
        <c:shape val="box"/>
        <c:axId val="502535928"/>
        <c:axId val="502536320"/>
        <c:axId val="0"/>
      </c:bar3DChart>
      <c:catAx>
        <c:axId val="502535928"/>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502536320"/>
        <c:crosses val="autoZero"/>
        <c:auto val="1"/>
        <c:lblAlgn val="ctr"/>
        <c:lblOffset val="100"/>
        <c:noMultiLvlLbl val="0"/>
      </c:catAx>
      <c:valAx>
        <c:axId val="502536320"/>
        <c:scaling>
          <c:orientation val="minMax"/>
        </c:scaling>
        <c:delete val="1"/>
        <c:axPos val="l"/>
        <c:numFmt formatCode="General" sourceLinked="1"/>
        <c:majorTickMark val="out"/>
        <c:minorTickMark val="none"/>
        <c:tickLblPos val="none"/>
        <c:crossAx val="502535928"/>
        <c:crosses val="autoZero"/>
        <c:crossBetween val="between"/>
      </c:valAx>
    </c:plotArea>
    <c:plotVisOnly val="1"/>
    <c:dispBlanksAs val="gap"/>
    <c:showDLblsOverMax val="0"/>
  </c:chart>
  <c:spPr>
    <a:ln>
      <a:noFill/>
    </a:ln>
  </c:spPr>
  <c:externalData r:id="rId1">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latin typeface="Times New Roman" pitchFamily="18" charset="0"/>
                <a:cs typeface="Times New Roman" pitchFamily="18" charset="0"/>
              </a:rPr>
              <a:t>Середня наповнюваність класів, осіб</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4.0515653775322284E-2"/>
          <c:y val="0.30796296296297476"/>
          <c:w val="0.95948434622467771"/>
          <c:h val="0.47327160493827158"/>
        </c:manualLayout>
      </c:layout>
      <c:bar3DChart>
        <c:barDir val="col"/>
        <c:grouping val="clustered"/>
        <c:varyColors val="0"/>
        <c:ser>
          <c:idx val="0"/>
          <c:order val="0"/>
          <c:invertIfNegative val="0"/>
          <c:dLbls>
            <c:dLbl>
              <c:idx val="0"/>
              <c:layout>
                <c:manualLayout>
                  <c:x val="1.9444444444444445E-2"/>
                  <c:y val="-3.240740740740812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8.3333333333333367E-3"/>
                  <c:y val="-4.166666666666662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1111111111111125E-2"/>
                  <c:y val="-4.166666666666667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Лист1!$B$40:$D$40</c:f>
              <c:strCache>
                <c:ptCount val="3"/>
                <c:pt idx="0">
                  <c:v>2015-2016 навч.рік</c:v>
                </c:pt>
                <c:pt idx="1">
                  <c:v>2016-2017 навч.рік</c:v>
                </c:pt>
                <c:pt idx="2">
                  <c:v>2017-2018 навч.рік</c:v>
                </c:pt>
              </c:strCache>
            </c:strRef>
          </c:cat>
          <c:val>
            <c:numRef>
              <c:f>Лист1!$B$41:$D$41</c:f>
              <c:numCache>
                <c:formatCode>General</c:formatCode>
                <c:ptCount val="3"/>
                <c:pt idx="0">
                  <c:v>28.1</c:v>
                </c:pt>
                <c:pt idx="1">
                  <c:v>28.3</c:v>
                </c:pt>
                <c:pt idx="2">
                  <c:v>28.7</c:v>
                </c:pt>
              </c:numCache>
            </c:numRef>
          </c:val>
        </c:ser>
        <c:dLbls>
          <c:showLegendKey val="0"/>
          <c:showVal val="0"/>
          <c:showCatName val="0"/>
          <c:showSerName val="0"/>
          <c:showPercent val="0"/>
          <c:showBubbleSize val="0"/>
        </c:dLbls>
        <c:gapWidth val="150"/>
        <c:shape val="cylinder"/>
        <c:axId val="502536712"/>
        <c:axId val="502482616"/>
        <c:axId val="0"/>
      </c:bar3DChart>
      <c:catAx>
        <c:axId val="502536712"/>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482616"/>
        <c:crosses val="autoZero"/>
        <c:auto val="1"/>
        <c:lblAlgn val="ctr"/>
        <c:lblOffset val="100"/>
        <c:noMultiLvlLbl val="0"/>
      </c:catAx>
      <c:valAx>
        <c:axId val="502482616"/>
        <c:scaling>
          <c:orientation val="minMax"/>
        </c:scaling>
        <c:delete val="1"/>
        <c:axPos val="l"/>
        <c:numFmt formatCode="General" sourceLinked="1"/>
        <c:majorTickMark val="out"/>
        <c:minorTickMark val="none"/>
        <c:tickLblPos val="none"/>
        <c:crossAx val="502536712"/>
        <c:crosses val="autoZero"/>
        <c:crossBetween val="between"/>
      </c:valAx>
    </c:plotArea>
    <c:plotVisOnly val="1"/>
    <c:dispBlanksAs val="gap"/>
    <c:showDLblsOverMax val="0"/>
  </c:chart>
  <c:spPr>
    <a:ln>
      <a:noFill/>
    </a:ln>
  </c:spPr>
  <c:externalData r:id="rId1">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latin typeface="Times New Roman" pitchFamily="18" charset="0"/>
                <a:cs typeface="Times New Roman" pitchFamily="18" charset="0"/>
              </a:rPr>
              <a:t>Впровадження інклюзивної освіти в  школах комунальної власності міста</a:t>
            </a:r>
          </a:p>
        </c:rich>
      </c:tx>
      <c:overlay val="0"/>
    </c:title>
    <c:autoTitleDeleted val="0"/>
    <c:view3D>
      <c:rotX val="15"/>
      <c:rotY val="20"/>
      <c:rAngAx val="1"/>
    </c:view3D>
    <c:floor>
      <c:thickness val="0"/>
    </c:floor>
    <c:sideWall>
      <c:thickness val="0"/>
      <c:spPr>
        <a:noFill/>
        <a:ln w="25400">
          <a:noFill/>
        </a:ln>
      </c:spPr>
    </c:sideWall>
    <c:backWall>
      <c:thickness val="0"/>
      <c:spPr>
        <a:noFill/>
        <a:ln w="25400">
          <a:noFill/>
        </a:ln>
      </c:spPr>
    </c:backWall>
    <c:plotArea>
      <c:layout>
        <c:manualLayout>
          <c:layoutTarget val="inner"/>
          <c:xMode val="edge"/>
          <c:yMode val="edge"/>
          <c:x val="2.545856648046621E-2"/>
          <c:y val="0.27788161993770266"/>
          <c:w val="0.69438289778994222"/>
          <c:h val="0.47158486030368596"/>
        </c:manualLayout>
      </c:layout>
      <c:bar3DChart>
        <c:barDir val="col"/>
        <c:grouping val="clustered"/>
        <c:varyColors val="0"/>
        <c:ser>
          <c:idx val="0"/>
          <c:order val="0"/>
          <c:tx>
            <c:strRef>
              <c:f>Лист1!$A$193</c:f>
              <c:strCache>
                <c:ptCount val="1"/>
                <c:pt idx="0">
                  <c:v>Кількість шкіл</c:v>
                </c:pt>
              </c:strCache>
            </c:strRef>
          </c:tx>
          <c:invertIfNegative val="0"/>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Лист1!$B$192:$D$192</c:f>
              <c:strCache>
                <c:ptCount val="3"/>
                <c:pt idx="0">
                  <c:v>2015-2016 навч.рік.</c:v>
                </c:pt>
                <c:pt idx="1">
                  <c:v>2016-2017 навч.рік.</c:v>
                </c:pt>
                <c:pt idx="2">
                  <c:v>2017-2018 навч. рік</c:v>
                </c:pt>
              </c:strCache>
            </c:strRef>
          </c:cat>
          <c:val>
            <c:numRef>
              <c:f>Лист1!$B$193:$D$193</c:f>
              <c:numCache>
                <c:formatCode>General</c:formatCode>
                <c:ptCount val="3"/>
                <c:pt idx="0">
                  <c:v>20</c:v>
                </c:pt>
                <c:pt idx="1">
                  <c:v>21</c:v>
                </c:pt>
                <c:pt idx="2">
                  <c:v>23</c:v>
                </c:pt>
              </c:numCache>
            </c:numRef>
          </c:val>
        </c:ser>
        <c:ser>
          <c:idx val="1"/>
          <c:order val="1"/>
          <c:tx>
            <c:strRef>
              <c:f>Лист1!$A$194</c:f>
              <c:strCache>
                <c:ptCount val="1"/>
                <c:pt idx="0">
                  <c:v>Кількість учнів</c:v>
                </c:pt>
              </c:strCache>
            </c:strRef>
          </c:tx>
          <c:spPr>
            <a:solidFill>
              <a:srgbClr val="9BBB59"/>
            </a:solidFill>
          </c:spPr>
          <c:invertIfNegative val="0"/>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Лист1!$B$192:$D$192</c:f>
              <c:strCache>
                <c:ptCount val="3"/>
                <c:pt idx="0">
                  <c:v>2015-2016 навч.рік.</c:v>
                </c:pt>
                <c:pt idx="1">
                  <c:v>2016-2017 навч.рік.</c:v>
                </c:pt>
                <c:pt idx="2">
                  <c:v>2017-2018 навч. рік</c:v>
                </c:pt>
              </c:strCache>
            </c:strRef>
          </c:cat>
          <c:val>
            <c:numRef>
              <c:f>Лист1!$B$194:$D$194</c:f>
              <c:numCache>
                <c:formatCode>General</c:formatCode>
                <c:ptCount val="3"/>
                <c:pt idx="0">
                  <c:v>54</c:v>
                </c:pt>
                <c:pt idx="1">
                  <c:v>63</c:v>
                </c:pt>
                <c:pt idx="2">
                  <c:v>89</c:v>
                </c:pt>
              </c:numCache>
            </c:numRef>
          </c:val>
        </c:ser>
        <c:dLbls>
          <c:showLegendKey val="0"/>
          <c:showVal val="0"/>
          <c:showCatName val="0"/>
          <c:showSerName val="0"/>
          <c:showPercent val="0"/>
          <c:showBubbleSize val="0"/>
        </c:dLbls>
        <c:gapWidth val="150"/>
        <c:shape val="box"/>
        <c:axId val="502478696"/>
        <c:axId val="502483008"/>
        <c:axId val="0"/>
      </c:bar3DChart>
      <c:catAx>
        <c:axId val="502478696"/>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483008"/>
        <c:crosses val="autoZero"/>
        <c:auto val="1"/>
        <c:lblAlgn val="ctr"/>
        <c:lblOffset val="100"/>
        <c:noMultiLvlLbl val="0"/>
      </c:catAx>
      <c:valAx>
        <c:axId val="502483008"/>
        <c:scaling>
          <c:orientation val="minMax"/>
        </c:scaling>
        <c:delete val="1"/>
        <c:axPos val="l"/>
        <c:numFmt formatCode="General" sourceLinked="1"/>
        <c:majorTickMark val="out"/>
        <c:minorTickMark val="none"/>
        <c:tickLblPos val="none"/>
        <c:crossAx val="502478696"/>
        <c:crosses val="autoZero"/>
        <c:crossBetween val="between"/>
      </c:valAx>
    </c:plotArea>
    <c:legend>
      <c:legendPos val="r"/>
      <c:layout>
        <c:manualLayout>
          <c:xMode val="edge"/>
          <c:yMode val="edge"/>
          <c:x val="0.73876655248602463"/>
          <c:y val="0.34632913876419652"/>
          <c:w val="0.2386345774574789"/>
          <c:h val="0.43569063212892778"/>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latin typeface="Times New Roman" pitchFamily="18" charset="0"/>
                <a:cs typeface="Times New Roman" pitchFamily="18" charset="0"/>
              </a:rPr>
              <a:t>Впровадження інклюзивної освіти в школах приватної власності міста</a:t>
            </a:r>
          </a:p>
        </c:rich>
      </c:tx>
      <c:layout>
        <c:manualLayout>
          <c:xMode val="edge"/>
          <c:yMode val="edge"/>
          <c:x val="0.10316852835256059"/>
          <c:y val="2.0725399875103651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2.0879265091864205E-2"/>
          <c:y val="0.22797939862614044"/>
          <c:w val="0.77651947222814977"/>
          <c:h val="0.5287691397163935"/>
        </c:manualLayout>
      </c:layout>
      <c:bar3DChart>
        <c:barDir val="col"/>
        <c:grouping val="clustered"/>
        <c:varyColors val="0"/>
        <c:ser>
          <c:idx val="0"/>
          <c:order val="0"/>
          <c:tx>
            <c:strRef>
              <c:f>Лист1!$A$199</c:f>
              <c:strCache>
                <c:ptCount val="1"/>
                <c:pt idx="0">
                  <c:v>Кількість шкіл</c:v>
                </c:pt>
              </c:strCache>
            </c:strRef>
          </c:tx>
          <c:invertIfNegative val="0"/>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Лист1!$B$198:$D$198</c:f>
              <c:strCache>
                <c:ptCount val="3"/>
                <c:pt idx="0">
                  <c:v>2015-2016 навч.рік.</c:v>
                </c:pt>
                <c:pt idx="1">
                  <c:v>2016-2017 навч.рік.</c:v>
                </c:pt>
                <c:pt idx="2">
                  <c:v>2017-2018 навч. рік</c:v>
                </c:pt>
              </c:strCache>
            </c:strRef>
          </c:cat>
          <c:val>
            <c:numRef>
              <c:f>Лист1!$B$199:$D$199</c:f>
              <c:numCache>
                <c:formatCode>General</c:formatCode>
                <c:ptCount val="3"/>
                <c:pt idx="0">
                  <c:v>2</c:v>
                </c:pt>
                <c:pt idx="1">
                  <c:v>2</c:v>
                </c:pt>
                <c:pt idx="2">
                  <c:v>2</c:v>
                </c:pt>
              </c:numCache>
            </c:numRef>
          </c:val>
        </c:ser>
        <c:ser>
          <c:idx val="1"/>
          <c:order val="1"/>
          <c:tx>
            <c:strRef>
              <c:f>Лист1!$A$200</c:f>
              <c:strCache>
                <c:ptCount val="1"/>
                <c:pt idx="0">
                  <c:v>Кількість учнів</c:v>
                </c:pt>
              </c:strCache>
            </c:strRef>
          </c:tx>
          <c:spPr>
            <a:solidFill>
              <a:srgbClr val="9BBB59"/>
            </a:solidFill>
          </c:spPr>
          <c:invertIfNegative val="0"/>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Лист1!$B$198:$D$198</c:f>
              <c:strCache>
                <c:ptCount val="3"/>
                <c:pt idx="0">
                  <c:v>2015-2016 навч.рік.</c:v>
                </c:pt>
                <c:pt idx="1">
                  <c:v>2016-2017 навч.рік.</c:v>
                </c:pt>
                <c:pt idx="2">
                  <c:v>2017-2018 навч. рік</c:v>
                </c:pt>
              </c:strCache>
            </c:strRef>
          </c:cat>
          <c:val>
            <c:numRef>
              <c:f>Лист1!$B$200:$D$200</c:f>
              <c:numCache>
                <c:formatCode>General</c:formatCode>
                <c:ptCount val="3"/>
                <c:pt idx="0">
                  <c:v>19</c:v>
                </c:pt>
                <c:pt idx="1">
                  <c:v>24</c:v>
                </c:pt>
                <c:pt idx="2">
                  <c:v>25</c:v>
                </c:pt>
              </c:numCache>
            </c:numRef>
          </c:val>
        </c:ser>
        <c:dLbls>
          <c:showLegendKey val="0"/>
          <c:showVal val="0"/>
          <c:showCatName val="0"/>
          <c:showSerName val="0"/>
          <c:showPercent val="0"/>
          <c:showBubbleSize val="0"/>
        </c:dLbls>
        <c:gapWidth val="150"/>
        <c:shape val="box"/>
        <c:axId val="502483400"/>
        <c:axId val="502480656"/>
        <c:axId val="0"/>
      </c:bar3DChart>
      <c:catAx>
        <c:axId val="502483400"/>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502480656"/>
        <c:crosses val="autoZero"/>
        <c:auto val="1"/>
        <c:lblAlgn val="ctr"/>
        <c:lblOffset val="100"/>
        <c:noMultiLvlLbl val="0"/>
      </c:catAx>
      <c:valAx>
        <c:axId val="502480656"/>
        <c:scaling>
          <c:orientation val="minMax"/>
        </c:scaling>
        <c:delete val="1"/>
        <c:axPos val="l"/>
        <c:numFmt formatCode="General" sourceLinked="1"/>
        <c:majorTickMark val="out"/>
        <c:minorTickMark val="none"/>
        <c:tickLblPos val="none"/>
        <c:crossAx val="502483400"/>
        <c:crosses val="autoZero"/>
        <c:crossBetween val="between"/>
      </c:valAx>
    </c:plotArea>
    <c:legend>
      <c:legendPos val="r"/>
      <c:layout>
        <c:manualLayout>
          <c:xMode val="edge"/>
          <c:yMode val="edge"/>
          <c:x val="0.72106396096461056"/>
          <c:y val="0.30705795061153529"/>
          <c:w val="0.26542232556501238"/>
          <c:h val="0.38588409877693541"/>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itchFamily="18" charset="0"/>
                <a:cs typeface="Times New Roman" pitchFamily="18" charset="0"/>
              </a:defRPr>
            </a:pPr>
            <a:r>
              <a:rPr lang="uk-UA" sz="1200">
                <a:latin typeface="Times New Roman" pitchFamily="18" charset="0"/>
                <a:cs typeface="Times New Roman" pitchFamily="18" charset="0"/>
              </a:rPr>
              <a:t>Кількість</a:t>
            </a:r>
            <a:r>
              <a:rPr lang="uk-UA" sz="1200" baseline="0">
                <a:latin typeface="Times New Roman" pitchFamily="18" charset="0"/>
                <a:cs typeface="Times New Roman" pitchFamily="18" charset="0"/>
              </a:rPr>
              <a:t> фізичних осіб-підприємців, осіб</a:t>
            </a:r>
            <a:endParaRPr lang="uk-UA" sz="1200">
              <a:latin typeface="Times New Roman" pitchFamily="18" charset="0"/>
              <a:cs typeface="Times New Roman" pitchFamily="18" charset="0"/>
            </a:endParaRPr>
          </a:p>
        </c:rich>
      </c:tx>
      <c:layout>
        <c:manualLayout>
          <c:xMode val="edge"/>
          <c:yMode val="edge"/>
          <c:x val="0.17404037765421504"/>
          <c:y val="0"/>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34122072320578045"/>
          <c:y val="0.24978902953586724"/>
          <c:w val="0.62056271628466819"/>
          <c:h val="0.75021097046413565"/>
        </c:manualLayout>
      </c:layout>
      <c:bar3DChart>
        <c:barDir val="bar"/>
        <c:grouping val="clustered"/>
        <c:varyColors val="0"/>
        <c:ser>
          <c:idx val="0"/>
          <c:order val="0"/>
          <c:invertIfNegative val="0"/>
          <c:dLbls>
            <c:dLbl>
              <c:idx val="0"/>
              <c:layout>
                <c:manualLayout>
                  <c:x val="2.2222222222222251E-2"/>
                  <c:y val="-4.6296296296297014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3333333333333444E-2"/>
                  <c:y val="8.4875562720139643E-17"/>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222222222222251E-2"/>
                  <c:y val="-9.2592592592594825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1111111111111125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Лист1!$A$137:$A$140</c:f>
              <c:strCache>
                <c:ptCount val="4"/>
                <c:pt idx="0">
                  <c:v>2014 рік</c:v>
                </c:pt>
                <c:pt idx="1">
                  <c:v>2015 рік</c:v>
                </c:pt>
                <c:pt idx="2">
                  <c:v>2016 рік</c:v>
                </c:pt>
                <c:pt idx="3">
                  <c:v>9 міс. 2017 року</c:v>
                </c:pt>
              </c:strCache>
            </c:strRef>
          </c:cat>
          <c:val>
            <c:numRef>
              <c:f>Лист1!$B$137:$B$140</c:f>
              <c:numCache>
                <c:formatCode>0</c:formatCode>
                <c:ptCount val="4"/>
                <c:pt idx="0">
                  <c:v>25004</c:v>
                </c:pt>
                <c:pt idx="1">
                  <c:v>25724</c:v>
                </c:pt>
                <c:pt idx="2">
                  <c:v>25412</c:v>
                </c:pt>
                <c:pt idx="3">
                  <c:v>26692</c:v>
                </c:pt>
              </c:numCache>
            </c:numRef>
          </c:val>
        </c:ser>
        <c:dLbls>
          <c:showLegendKey val="0"/>
          <c:showVal val="0"/>
          <c:showCatName val="0"/>
          <c:showSerName val="0"/>
          <c:showPercent val="0"/>
          <c:showBubbleSize val="0"/>
        </c:dLbls>
        <c:gapWidth val="150"/>
        <c:shape val="box"/>
        <c:axId val="423746992"/>
        <c:axId val="423736016"/>
        <c:axId val="0"/>
      </c:bar3DChart>
      <c:catAx>
        <c:axId val="423746992"/>
        <c:scaling>
          <c:orientation val="minMax"/>
        </c:scaling>
        <c:delete val="0"/>
        <c:axPos val="l"/>
        <c:numFmt formatCode="General" sourceLinked="0"/>
        <c:majorTickMark val="out"/>
        <c:minorTickMark val="none"/>
        <c:tickLblPos val="nextTo"/>
        <c:txPr>
          <a:bodyPr/>
          <a:lstStyle/>
          <a:p>
            <a:pPr>
              <a:defRPr sz="1000" b="1">
                <a:latin typeface="Times New Roman" pitchFamily="18" charset="0"/>
                <a:cs typeface="Times New Roman" pitchFamily="18" charset="0"/>
              </a:defRPr>
            </a:pPr>
            <a:endParaRPr lang="ru-RU"/>
          </a:p>
        </c:txPr>
        <c:crossAx val="423736016"/>
        <c:crosses val="autoZero"/>
        <c:auto val="1"/>
        <c:lblAlgn val="ctr"/>
        <c:lblOffset val="100"/>
        <c:noMultiLvlLbl val="0"/>
      </c:catAx>
      <c:valAx>
        <c:axId val="423736016"/>
        <c:scaling>
          <c:orientation val="minMax"/>
        </c:scaling>
        <c:delete val="1"/>
        <c:axPos val="b"/>
        <c:majorGridlines>
          <c:spPr>
            <a:ln>
              <a:noFill/>
            </a:ln>
          </c:spPr>
        </c:majorGridlines>
        <c:numFmt formatCode="0" sourceLinked="1"/>
        <c:majorTickMark val="out"/>
        <c:minorTickMark val="none"/>
        <c:tickLblPos val="none"/>
        <c:crossAx val="423746992"/>
        <c:crosses val="autoZero"/>
        <c:crossBetween val="between"/>
      </c:valAx>
    </c:plotArea>
    <c:plotVisOnly val="1"/>
    <c:dispBlanksAs val="gap"/>
    <c:showDLblsOverMax val="0"/>
  </c:chart>
  <c:spPr>
    <a:ln>
      <a:noFill/>
    </a:ln>
  </c:spPr>
  <c:externalData r:id="rId2">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aseline="0">
                <a:latin typeface="Times New Roman" pitchFamily="18" charset="0"/>
                <a:cs typeface="Times New Roman" pitchFamily="18" charset="0"/>
              </a:defRPr>
            </a:pPr>
            <a:r>
              <a:rPr lang="ru-RU" sz="1200" baseline="0">
                <a:latin typeface="Times New Roman" pitchFamily="18" charset="0"/>
                <a:cs typeface="Times New Roman" pitchFamily="18" charset="0"/>
              </a:rPr>
              <a:t>Кількість учнів, які стали переможцями у всеукраїнських та міжнародних олімпіадах (конкурсах), осіб</a:t>
            </a:r>
          </a:p>
        </c:rich>
      </c:tx>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1"/>
          <c:order val="0"/>
          <c:spPr>
            <a:solidFill>
              <a:srgbClr val="1F497D">
                <a:lumMod val="40000"/>
                <a:lumOff val="60000"/>
              </a:srgbClr>
            </a:solidFill>
          </c:spPr>
          <c:invertIfNegative val="0"/>
          <c:dLbls>
            <c:dLbl>
              <c:idx val="0"/>
              <c:layout>
                <c:manualLayout>
                  <c:x val="1.6666666666666691E-2"/>
                  <c:y val="-4.166666666666666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9444444444444445E-2"/>
                  <c:y val="-4.629629629629637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2222222222222251E-2"/>
                  <c:y val="-4.166666666666666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Лист1!$A$114:$A$116</c:f>
              <c:strCache>
                <c:ptCount val="3"/>
                <c:pt idx="0">
                  <c:v>2015 рік</c:v>
                </c:pt>
                <c:pt idx="1">
                  <c:v>2016 рік</c:v>
                </c:pt>
                <c:pt idx="2">
                  <c:v>2017 рік </c:v>
                </c:pt>
              </c:strCache>
            </c:strRef>
          </c:cat>
          <c:val>
            <c:numRef>
              <c:f>Лист1!$B$114:$B$116</c:f>
              <c:numCache>
                <c:formatCode>General</c:formatCode>
                <c:ptCount val="3"/>
                <c:pt idx="0">
                  <c:v>1256</c:v>
                </c:pt>
                <c:pt idx="1">
                  <c:v>1364</c:v>
                </c:pt>
                <c:pt idx="2">
                  <c:v>1473</c:v>
                </c:pt>
              </c:numCache>
            </c:numRef>
          </c:val>
        </c:ser>
        <c:dLbls>
          <c:showLegendKey val="0"/>
          <c:showVal val="0"/>
          <c:showCatName val="0"/>
          <c:showSerName val="0"/>
          <c:showPercent val="0"/>
          <c:showBubbleSize val="0"/>
        </c:dLbls>
        <c:gapWidth val="150"/>
        <c:shape val="box"/>
        <c:axId val="502484184"/>
        <c:axId val="502483792"/>
        <c:axId val="0"/>
      </c:bar3DChart>
      <c:catAx>
        <c:axId val="502484184"/>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502483792"/>
        <c:crosses val="autoZero"/>
        <c:auto val="1"/>
        <c:lblAlgn val="ctr"/>
        <c:lblOffset val="100"/>
        <c:noMultiLvlLbl val="0"/>
      </c:catAx>
      <c:valAx>
        <c:axId val="502483792"/>
        <c:scaling>
          <c:orientation val="minMax"/>
        </c:scaling>
        <c:delete val="1"/>
        <c:axPos val="l"/>
        <c:numFmt formatCode="General" sourceLinked="1"/>
        <c:majorTickMark val="out"/>
        <c:minorTickMark val="none"/>
        <c:tickLblPos val="none"/>
        <c:crossAx val="502484184"/>
        <c:crosses val="autoZero"/>
        <c:crossBetween val="between"/>
      </c:valAx>
    </c:plotArea>
    <c:plotVisOnly val="1"/>
    <c:dispBlanksAs val="gap"/>
    <c:showDLblsOverMax val="0"/>
  </c:chart>
  <c:spPr>
    <a:ln>
      <a:noFill/>
    </a:ln>
  </c:spPr>
  <c:externalData r:id="rId1">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latin typeface="Times New Roman" pitchFamily="18" charset="0"/>
                <a:cs typeface="Times New Roman" pitchFamily="18" charset="0"/>
              </a:rPr>
              <a:t>Рейтинг обласних центрів за результатами ЗНО у 2017 році</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3.6262203626221047E-2"/>
          <c:y val="0.23097222222222241"/>
          <c:w val="0.93863319386331934"/>
          <c:h val="0.35453703703703704"/>
        </c:manualLayout>
      </c:layout>
      <c:bar3DChart>
        <c:barDir val="col"/>
        <c:grouping val="clustered"/>
        <c:varyColors val="0"/>
        <c:ser>
          <c:idx val="0"/>
          <c:order val="0"/>
          <c:tx>
            <c:strRef>
              <c:f>Лист1!$B$166</c:f>
              <c:strCache>
                <c:ptCount val="1"/>
                <c:pt idx="0">
                  <c:v>Місце</c:v>
                </c:pt>
              </c:strCache>
            </c:strRef>
          </c:tx>
          <c:invertIfNegative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Лист1!$A$167:$A$188</c:f>
              <c:strCache>
                <c:ptCount val="22"/>
                <c:pt idx="0">
                  <c:v>м.Львів</c:v>
                </c:pt>
                <c:pt idx="1">
                  <c:v>м.Тернопіль</c:v>
                </c:pt>
                <c:pt idx="2">
                  <c:v>м.Київ</c:v>
                </c:pt>
                <c:pt idx="3">
                  <c:v>м.Вінниця</c:v>
                </c:pt>
                <c:pt idx="4">
                  <c:v>м.Житомир</c:v>
                </c:pt>
                <c:pt idx="5">
                  <c:v>м.Рівне</c:v>
                </c:pt>
                <c:pt idx="6">
                  <c:v>м.Луцьк</c:v>
                </c:pt>
                <c:pt idx="7">
                  <c:v>м.Суми</c:v>
                </c:pt>
                <c:pt idx="8">
                  <c:v>м.Івано-Франківськ</c:v>
                </c:pt>
                <c:pt idx="9">
                  <c:v>м.Черкаси</c:v>
                </c:pt>
                <c:pt idx="10">
                  <c:v>м.Чернігів</c:v>
                </c:pt>
                <c:pt idx="11">
                  <c:v>м.Хмельницький</c:v>
                </c:pt>
                <c:pt idx="12">
                  <c:v>м.Харків</c:v>
                </c:pt>
                <c:pt idx="13">
                  <c:v>м.Чернівці</c:v>
                </c:pt>
                <c:pt idx="14">
                  <c:v>м.Полтава</c:v>
                </c:pt>
                <c:pt idx="15">
                  <c:v>м.Дніпро</c:v>
                </c:pt>
                <c:pt idx="16">
                  <c:v>м.Ужгород</c:v>
                </c:pt>
                <c:pt idx="17">
                  <c:v>м.Кропивницький</c:v>
                </c:pt>
                <c:pt idx="18">
                  <c:v>м.Одеса</c:v>
                </c:pt>
                <c:pt idx="19">
                  <c:v>м.Запоріжжя</c:v>
                </c:pt>
                <c:pt idx="20">
                  <c:v>м.Херсон</c:v>
                </c:pt>
                <c:pt idx="21">
                  <c:v>м.Миколаїв</c:v>
                </c:pt>
              </c:strCache>
            </c:strRef>
          </c:cat>
          <c:val>
            <c:numRef>
              <c:f>Лист1!$B$167:$B$188</c:f>
              <c:numCache>
                <c:formatCode>General</c:formatCode>
                <c:ptCount val="22"/>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pt idx="15">
                  <c:v>16</c:v>
                </c:pt>
                <c:pt idx="16">
                  <c:v>17</c:v>
                </c:pt>
                <c:pt idx="17">
                  <c:v>18</c:v>
                </c:pt>
                <c:pt idx="18">
                  <c:v>19</c:v>
                </c:pt>
                <c:pt idx="19">
                  <c:v>20</c:v>
                </c:pt>
                <c:pt idx="20">
                  <c:v>21</c:v>
                </c:pt>
                <c:pt idx="21">
                  <c:v>22</c:v>
                </c:pt>
              </c:numCache>
            </c:numRef>
          </c:val>
        </c:ser>
        <c:dLbls>
          <c:showLegendKey val="0"/>
          <c:showVal val="0"/>
          <c:showCatName val="0"/>
          <c:showSerName val="0"/>
          <c:showPercent val="0"/>
          <c:showBubbleSize val="0"/>
        </c:dLbls>
        <c:gapWidth val="150"/>
        <c:shape val="box"/>
        <c:axId val="502479088"/>
        <c:axId val="502484968"/>
        <c:axId val="0"/>
      </c:bar3DChart>
      <c:catAx>
        <c:axId val="502479088"/>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502484968"/>
        <c:crosses val="autoZero"/>
        <c:auto val="1"/>
        <c:lblAlgn val="ctr"/>
        <c:lblOffset val="100"/>
        <c:noMultiLvlLbl val="0"/>
      </c:catAx>
      <c:valAx>
        <c:axId val="502484968"/>
        <c:scaling>
          <c:orientation val="minMax"/>
        </c:scaling>
        <c:delete val="1"/>
        <c:axPos val="l"/>
        <c:numFmt formatCode="General" sourceLinked="1"/>
        <c:majorTickMark val="out"/>
        <c:minorTickMark val="none"/>
        <c:tickLblPos val="none"/>
        <c:crossAx val="502479088"/>
        <c:crosses val="autoZero"/>
        <c:crossBetween val="between"/>
      </c:valAx>
    </c:plotArea>
    <c:plotVisOnly val="1"/>
    <c:dispBlanksAs val="gap"/>
    <c:showDLblsOverMax val="0"/>
  </c:chart>
  <c:spPr>
    <a:ln>
      <a:noFill/>
    </a:ln>
  </c:spPr>
  <c:externalData r:id="rId1">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latin typeface="Times New Roman" pitchFamily="18" charset="0"/>
                <a:cs typeface="Times New Roman" pitchFamily="18" charset="0"/>
              </a:rPr>
              <a:t>Культурна інфраструктура міста, од</a:t>
            </a:r>
          </a:p>
        </c:rich>
      </c:tx>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invertIfNegative val="0"/>
          <c:dLbls>
            <c:dLbl>
              <c:idx val="5"/>
              <c:layout>
                <c:manualLayout>
                  <c:x val="9.1954039633277748E-3"/>
                  <c:y val="-4.4593088071348524E-3"/>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6.8965529724958714E-3"/>
                  <c:y val="-4.4593088071349114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Лист1!$B$13:$B$25</c:f>
              <c:strCache>
                <c:ptCount val="13"/>
                <c:pt idx="0">
                  <c:v>Музичні школи</c:v>
                </c:pt>
                <c:pt idx="1">
                  <c:v>Художня школа</c:v>
                </c:pt>
                <c:pt idx="2">
                  <c:v>Вищі навчальні заклади культури</c:v>
                </c:pt>
                <c:pt idx="3">
                  <c:v>Бібліотеки</c:v>
                </c:pt>
                <c:pt idx="4">
                  <c:v>Музеї</c:v>
                </c:pt>
                <c:pt idx="5">
                  <c:v>Кінотеатри</c:v>
                </c:pt>
                <c:pt idx="6">
                  <c:v>Клубні заклади</c:v>
                </c:pt>
                <c:pt idx="7">
                  <c:v>Житомирський обласний український музично-драматичний театр ім. Івана Кочерги</c:v>
                </c:pt>
                <c:pt idx="8">
                  <c:v>Житомирський академічний обласний театр ляльок</c:v>
                </c:pt>
                <c:pt idx="9">
                  <c:v>Житомирська обласна філармонія ім.Св. Ріхтера</c:v>
                </c:pt>
                <c:pt idx="10">
                  <c:v>Житомирський обласний центр хореографічного мистецтва</c:v>
                </c:pt>
                <c:pt idx="11">
                  <c:v>Житомирський обласний центр народної творчості</c:v>
                </c:pt>
                <c:pt idx="12">
                  <c:v> Дім української культури</c:v>
                </c:pt>
              </c:strCache>
            </c:strRef>
          </c:cat>
          <c:val>
            <c:numRef>
              <c:f>Лист1!$C$13:$C$25</c:f>
              <c:numCache>
                <c:formatCode>General</c:formatCode>
                <c:ptCount val="13"/>
                <c:pt idx="0">
                  <c:v>5</c:v>
                </c:pt>
                <c:pt idx="1">
                  <c:v>1</c:v>
                </c:pt>
                <c:pt idx="2">
                  <c:v>2</c:v>
                </c:pt>
                <c:pt idx="3">
                  <c:v>18</c:v>
                </c:pt>
                <c:pt idx="4">
                  <c:v>5</c:v>
                </c:pt>
                <c:pt idx="5">
                  <c:v>3</c:v>
                </c:pt>
                <c:pt idx="6">
                  <c:v>9</c:v>
                </c:pt>
                <c:pt idx="7">
                  <c:v>1</c:v>
                </c:pt>
                <c:pt idx="8">
                  <c:v>1</c:v>
                </c:pt>
                <c:pt idx="9">
                  <c:v>1</c:v>
                </c:pt>
                <c:pt idx="10">
                  <c:v>1</c:v>
                </c:pt>
                <c:pt idx="11">
                  <c:v>1</c:v>
                </c:pt>
                <c:pt idx="12">
                  <c:v>1</c:v>
                </c:pt>
              </c:numCache>
            </c:numRef>
          </c:val>
        </c:ser>
        <c:dLbls>
          <c:showLegendKey val="0"/>
          <c:showVal val="0"/>
          <c:showCatName val="0"/>
          <c:showSerName val="0"/>
          <c:showPercent val="0"/>
          <c:showBubbleSize val="0"/>
        </c:dLbls>
        <c:gapWidth val="150"/>
        <c:shape val="box"/>
        <c:axId val="502481048"/>
        <c:axId val="502473208"/>
        <c:axId val="0"/>
      </c:bar3DChart>
      <c:catAx>
        <c:axId val="502481048"/>
        <c:scaling>
          <c:orientation val="minMax"/>
        </c:scaling>
        <c:delete val="0"/>
        <c:axPos val="l"/>
        <c:numFmt formatCode="General" sourceLinked="0"/>
        <c:majorTickMark val="out"/>
        <c:minorTickMark val="none"/>
        <c:tickLblPos val="nextTo"/>
        <c:txPr>
          <a:bodyPr/>
          <a:lstStyle/>
          <a:p>
            <a:pPr>
              <a:defRPr sz="1000">
                <a:latin typeface="Times New Roman" pitchFamily="18" charset="0"/>
                <a:cs typeface="Times New Roman" pitchFamily="18" charset="0"/>
              </a:defRPr>
            </a:pPr>
            <a:endParaRPr lang="ru-RU"/>
          </a:p>
        </c:txPr>
        <c:crossAx val="502473208"/>
        <c:crosses val="autoZero"/>
        <c:auto val="1"/>
        <c:lblAlgn val="ctr"/>
        <c:lblOffset val="100"/>
        <c:noMultiLvlLbl val="0"/>
      </c:catAx>
      <c:valAx>
        <c:axId val="502473208"/>
        <c:scaling>
          <c:orientation val="minMax"/>
        </c:scaling>
        <c:delete val="1"/>
        <c:axPos val="b"/>
        <c:numFmt formatCode="General" sourceLinked="1"/>
        <c:majorTickMark val="out"/>
        <c:minorTickMark val="none"/>
        <c:tickLblPos val="none"/>
        <c:crossAx val="502481048"/>
        <c:crosses val="autoZero"/>
        <c:crossBetween val="between"/>
      </c:valAx>
    </c:plotArea>
    <c:plotVisOnly val="1"/>
    <c:dispBlanksAs val="gap"/>
    <c:showDLblsOverMax val="0"/>
  </c:chart>
  <c:spPr>
    <a:ln>
      <a:noFill/>
    </a:ln>
  </c:spPr>
  <c:externalData r:id="rId1">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Кінотеатри міста</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
          <c:y val="0.16178258967629094"/>
          <c:w val="0.8230132759348987"/>
          <c:h val="0.74468669194128512"/>
        </c:manualLayout>
      </c:layout>
      <c:bar3DChart>
        <c:barDir val="col"/>
        <c:grouping val="clustered"/>
        <c:varyColors val="0"/>
        <c:ser>
          <c:idx val="0"/>
          <c:order val="0"/>
          <c:tx>
            <c:strRef>
              <c:f>Лист1!$B$39</c:f>
              <c:strCache>
                <c:ptCount val="1"/>
                <c:pt idx="0">
                  <c:v>Кількість кінотеатрів, од</c:v>
                </c:pt>
              </c:strCache>
            </c:strRef>
          </c:tx>
          <c:invertIfNegative val="0"/>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Лист1!$C$38:$F$38</c:f>
              <c:strCache>
                <c:ptCount val="4"/>
                <c:pt idx="0">
                  <c:v>2014 рік</c:v>
                </c:pt>
                <c:pt idx="1">
                  <c:v>2015 рік</c:v>
                </c:pt>
                <c:pt idx="2">
                  <c:v>2016 рік</c:v>
                </c:pt>
                <c:pt idx="3">
                  <c:v>8 міс.2017 року</c:v>
                </c:pt>
              </c:strCache>
            </c:strRef>
          </c:cat>
          <c:val>
            <c:numRef>
              <c:f>Лист1!$C$39:$F$39</c:f>
              <c:numCache>
                <c:formatCode>General</c:formatCode>
                <c:ptCount val="4"/>
                <c:pt idx="0">
                  <c:v>3</c:v>
                </c:pt>
                <c:pt idx="1">
                  <c:v>3</c:v>
                </c:pt>
                <c:pt idx="2">
                  <c:v>3</c:v>
                </c:pt>
                <c:pt idx="3">
                  <c:v>3</c:v>
                </c:pt>
              </c:numCache>
            </c:numRef>
          </c:val>
        </c:ser>
        <c:ser>
          <c:idx val="1"/>
          <c:order val="1"/>
          <c:tx>
            <c:strRef>
              <c:f>Лист1!$B$40</c:f>
              <c:strCache>
                <c:ptCount val="1"/>
                <c:pt idx="0">
                  <c:v>Кількість глядачів, тис.осіб</c:v>
                </c:pt>
              </c:strCache>
            </c:strRef>
          </c:tx>
          <c:spPr>
            <a:solidFill>
              <a:srgbClr val="9BBB59"/>
            </a:solidFill>
          </c:spPr>
          <c:invertIfNegative val="0"/>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Лист1!$C$38:$F$38</c:f>
              <c:strCache>
                <c:ptCount val="4"/>
                <c:pt idx="0">
                  <c:v>2014 рік</c:v>
                </c:pt>
                <c:pt idx="1">
                  <c:v>2015 рік</c:v>
                </c:pt>
                <c:pt idx="2">
                  <c:v>2016 рік</c:v>
                </c:pt>
                <c:pt idx="3">
                  <c:v>8 міс.2017 року</c:v>
                </c:pt>
              </c:strCache>
            </c:strRef>
          </c:cat>
          <c:val>
            <c:numRef>
              <c:f>Лист1!$C$40:$F$40</c:f>
              <c:numCache>
                <c:formatCode>General</c:formatCode>
                <c:ptCount val="4"/>
                <c:pt idx="0">
                  <c:v>58.5</c:v>
                </c:pt>
                <c:pt idx="1">
                  <c:v>53.6</c:v>
                </c:pt>
                <c:pt idx="2">
                  <c:v>52.8</c:v>
                </c:pt>
                <c:pt idx="3">
                  <c:v>41.3</c:v>
                </c:pt>
              </c:numCache>
            </c:numRef>
          </c:val>
        </c:ser>
        <c:dLbls>
          <c:showLegendKey val="0"/>
          <c:showVal val="0"/>
          <c:showCatName val="0"/>
          <c:showSerName val="0"/>
          <c:showPercent val="0"/>
          <c:showBubbleSize val="0"/>
        </c:dLbls>
        <c:gapWidth val="150"/>
        <c:shape val="cylinder"/>
        <c:axId val="502477912"/>
        <c:axId val="502475560"/>
        <c:axId val="0"/>
      </c:bar3DChart>
      <c:catAx>
        <c:axId val="502477912"/>
        <c:scaling>
          <c:orientation val="minMax"/>
        </c:scaling>
        <c:delete val="0"/>
        <c:axPos val="b"/>
        <c:numFmt formatCode="General" sourceLinked="1"/>
        <c:majorTickMark val="out"/>
        <c:minorTickMark val="none"/>
        <c:tickLblPos val="nextTo"/>
        <c:txPr>
          <a:bodyPr/>
          <a:lstStyle/>
          <a:p>
            <a:pPr>
              <a:defRPr sz="850" b="1" baseline="0">
                <a:latin typeface="Times New Roman" pitchFamily="18" charset="0"/>
                <a:cs typeface="Times New Roman" pitchFamily="18" charset="0"/>
              </a:defRPr>
            </a:pPr>
            <a:endParaRPr lang="ru-RU"/>
          </a:p>
        </c:txPr>
        <c:crossAx val="502475560"/>
        <c:crosses val="autoZero"/>
        <c:auto val="1"/>
        <c:lblAlgn val="ctr"/>
        <c:lblOffset val="100"/>
        <c:noMultiLvlLbl val="0"/>
      </c:catAx>
      <c:valAx>
        <c:axId val="502475560"/>
        <c:scaling>
          <c:orientation val="minMax"/>
        </c:scaling>
        <c:delete val="1"/>
        <c:axPos val="l"/>
        <c:numFmt formatCode="General" sourceLinked="1"/>
        <c:majorTickMark val="out"/>
        <c:minorTickMark val="none"/>
        <c:tickLblPos val="none"/>
        <c:crossAx val="502477912"/>
        <c:crosses val="autoZero"/>
        <c:crossBetween val="between"/>
      </c:valAx>
    </c:plotArea>
    <c:legend>
      <c:legendPos val="r"/>
      <c:layout>
        <c:manualLayout>
          <c:xMode val="edge"/>
          <c:yMode val="edge"/>
          <c:x val="0.76436867130739095"/>
          <c:y val="0.35205638184116272"/>
          <c:w val="0.23563132869260908"/>
          <c:h val="0.47587984835229397"/>
        </c:manualLayout>
      </c:layout>
      <c:overlay val="0"/>
      <c:txPr>
        <a:bodyPr/>
        <a:lstStyle/>
        <a:p>
          <a:pPr>
            <a:defRPr sz="900" b="0" baseline="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latin typeface="Times New Roman" pitchFamily="18" charset="0"/>
                <a:cs typeface="Times New Roman" pitchFamily="18" charset="0"/>
              </a:rPr>
              <a:t>Бібліотеки комунальної власності міста</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6.0344525899779814E-3"/>
          <c:y val="0.17649653884998659"/>
          <c:w val="0.84060359226256598"/>
          <c:h val="0.70822166802103481"/>
        </c:manualLayout>
      </c:layout>
      <c:bar3DChart>
        <c:barDir val="col"/>
        <c:grouping val="clustered"/>
        <c:varyColors val="0"/>
        <c:ser>
          <c:idx val="0"/>
          <c:order val="0"/>
          <c:tx>
            <c:strRef>
              <c:f>Лист1!$B$49</c:f>
              <c:strCache>
                <c:ptCount val="1"/>
                <c:pt idx="0">
                  <c:v>Кількість бібліотек, од.</c:v>
                </c:pt>
              </c:strCache>
            </c:strRef>
          </c:tx>
          <c:invertIfNegative val="0"/>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Лист1!$C$48:$F$48</c:f>
              <c:strCache>
                <c:ptCount val="4"/>
                <c:pt idx="0">
                  <c:v>2014 рік</c:v>
                </c:pt>
                <c:pt idx="1">
                  <c:v>2015 рік</c:v>
                </c:pt>
                <c:pt idx="2">
                  <c:v>2016 рік</c:v>
                </c:pt>
                <c:pt idx="3">
                  <c:v>8 міс.2017 року</c:v>
                </c:pt>
              </c:strCache>
            </c:strRef>
          </c:cat>
          <c:val>
            <c:numRef>
              <c:f>Лист1!$C$49:$F$49</c:f>
              <c:numCache>
                <c:formatCode>General</c:formatCode>
                <c:ptCount val="4"/>
                <c:pt idx="0">
                  <c:v>15</c:v>
                </c:pt>
                <c:pt idx="1">
                  <c:v>15</c:v>
                </c:pt>
                <c:pt idx="2">
                  <c:v>15</c:v>
                </c:pt>
                <c:pt idx="3">
                  <c:v>15</c:v>
                </c:pt>
              </c:numCache>
            </c:numRef>
          </c:val>
        </c:ser>
        <c:ser>
          <c:idx val="1"/>
          <c:order val="1"/>
          <c:tx>
            <c:strRef>
              <c:f>Лист1!$B$50</c:f>
              <c:strCache>
                <c:ptCount val="1"/>
                <c:pt idx="0">
                  <c:v>Кількість читачів, тис.осіб.</c:v>
                </c:pt>
              </c:strCache>
            </c:strRef>
          </c:tx>
          <c:spPr>
            <a:solidFill>
              <a:srgbClr val="9BBB59"/>
            </a:solidFill>
          </c:spPr>
          <c:invertIfNegative val="0"/>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Лист1!$C$48:$F$48</c:f>
              <c:strCache>
                <c:ptCount val="4"/>
                <c:pt idx="0">
                  <c:v>2014 рік</c:v>
                </c:pt>
                <c:pt idx="1">
                  <c:v>2015 рік</c:v>
                </c:pt>
                <c:pt idx="2">
                  <c:v>2016 рік</c:v>
                </c:pt>
                <c:pt idx="3">
                  <c:v>8 міс.2017 року</c:v>
                </c:pt>
              </c:strCache>
            </c:strRef>
          </c:cat>
          <c:val>
            <c:numRef>
              <c:f>Лист1!$C$50:$F$50</c:f>
              <c:numCache>
                <c:formatCode>0.0</c:formatCode>
                <c:ptCount val="4"/>
                <c:pt idx="0">
                  <c:v>28.09</c:v>
                </c:pt>
                <c:pt idx="1">
                  <c:v>28.05</c:v>
                </c:pt>
                <c:pt idx="2">
                  <c:v>28.08</c:v>
                </c:pt>
                <c:pt idx="3">
                  <c:v>22.3</c:v>
                </c:pt>
              </c:numCache>
            </c:numRef>
          </c:val>
        </c:ser>
        <c:dLbls>
          <c:showLegendKey val="0"/>
          <c:showVal val="0"/>
          <c:showCatName val="0"/>
          <c:showSerName val="0"/>
          <c:showPercent val="0"/>
          <c:showBubbleSize val="0"/>
        </c:dLbls>
        <c:gapWidth val="150"/>
        <c:shape val="cylinder"/>
        <c:axId val="502474776"/>
        <c:axId val="502478304"/>
        <c:axId val="0"/>
      </c:bar3DChart>
      <c:catAx>
        <c:axId val="502474776"/>
        <c:scaling>
          <c:orientation val="minMax"/>
        </c:scaling>
        <c:delete val="0"/>
        <c:axPos val="b"/>
        <c:numFmt formatCode="General" sourceLinked="1"/>
        <c:majorTickMark val="out"/>
        <c:minorTickMark val="none"/>
        <c:tickLblPos val="nextTo"/>
        <c:txPr>
          <a:bodyPr/>
          <a:lstStyle/>
          <a:p>
            <a:pPr>
              <a:defRPr sz="850" b="1" baseline="0">
                <a:latin typeface="Times New Roman" pitchFamily="18" charset="0"/>
                <a:cs typeface="Times New Roman" pitchFamily="18" charset="0"/>
              </a:defRPr>
            </a:pPr>
            <a:endParaRPr lang="ru-RU"/>
          </a:p>
        </c:txPr>
        <c:crossAx val="502478304"/>
        <c:crosses val="autoZero"/>
        <c:auto val="1"/>
        <c:lblAlgn val="ctr"/>
        <c:lblOffset val="100"/>
        <c:noMultiLvlLbl val="0"/>
      </c:catAx>
      <c:valAx>
        <c:axId val="502478304"/>
        <c:scaling>
          <c:orientation val="minMax"/>
        </c:scaling>
        <c:delete val="1"/>
        <c:axPos val="l"/>
        <c:numFmt formatCode="General" sourceLinked="1"/>
        <c:majorTickMark val="out"/>
        <c:minorTickMark val="none"/>
        <c:tickLblPos val="none"/>
        <c:crossAx val="502474776"/>
        <c:crosses val="autoZero"/>
        <c:crossBetween val="between"/>
      </c:valAx>
    </c:plotArea>
    <c:legend>
      <c:legendPos val="r"/>
      <c:layout>
        <c:manualLayout>
          <c:xMode val="edge"/>
          <c:yMode val="edge"/>
          <c:x val="0.74055065466388637"/>
          <c:y val="0.33817806436070236"/>
          <c:w val="0.25367235972294438"/>
          <c:h val="0.44691305249843116"/>
        </c:manualLayout>
      </c:layout>
      <c:overlay val="0"/>
      <c:txPr>
        <a:bodyPr/>
        <a:lstStyle/>
        <a:p>
          <a:pPr>
            <a:defRPr sz="900" baseline="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Початкова мистецька освіта в місті</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34261329833770782"/>
          <c:y val="0.11769709829730295"/>
          <c:w val="0.48115522408538874"/>
          <c:h val="0.84745186611921663"/>
        </c:manualLayout>
      </c:layout>
      <c:bar3DChart>
        <c:barDir val="bar"/>
        <c:grouping val="clustered"/>
        <c:varyColors val="0"/>
        <c:ser>
          <c:idx val="0"/>
          <c:order val="0"/>
          <c:tx>
            <c:strRef>
              <c:f>Лист1!$C$60</c:f>
              <c:strCache>
                <c:ptCount val="1"/>
                <c:pt idx="0">
                  <c:v>2013/2014 навч.рік</c:v>
                </c:pt>
              </c:strCache>
            </c:strRef>
          </c:tx>
          <c:invertIfNegative val="0"/>
          <c:dLbls>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Лист1!$B$61:$B$67</c:f>
              <c:strCache>
                <c:ptCount val="7"/>
                <c:pt idx="0">
                  <c:v>Кількість призових місць, які зайняли музичні колективи на всеукраїнських та міжнародних конкурсах, од.</c:v>
                </c:pt>
                <c:pt idx="1">
                  <c:v>Кількість музичних колективів, од </c:v>
                </c:pt>
                <c:pt idx="2">
                  <c:v>Кількість учнів художньої школи, твори яких виставлялись на всеукраїнських конкурсах, виставках та фестивалях, осіб</c:v>
                </c:pt>
                <c:pt idx="3">
                  <c:v>Кількість учнів у художній школі, осіб</c:v>
                </c:pt>
                <c:pt idx="4">
                  <c:v>Кількість учнів музичних шкіл, які зайняли призові місця у всеукраїнських та міжнародних конкурсах, осіб</c:v>
                </c:pt>
                <c:pt idx="5">
                  <c:v>Кількість учнів у музичних школах, осіб</c:v>
                </c:pt>
                <c:pt idx="6">
                  <c:v>Кількість музичних шкіл, од.</c:v>
                </c:pt>
              </c:strCache>
            </c:strRef>
          </c:cat>
          <c:val>
            <c:numRef>
              <c:f>Лист1!$C$61:$C$67</c:f>
              <c:numCache>
                <c:formatCode>General</c:formatCode>
                <c:ptCount val="7"/>
                <c:pt idx="0">
                  <c:v>71</c:v>
                </c:pt>
                <c:pt idx="1">
                  <c:v>71</c:v>
                </c:pt>
                <c:pt idx="2">
                  <c:v>25</c:v>
                </c:pt>
                <c:pt idx="3">
                  <c:v>120</c:v>
                </c:pt>
                <c:pt idx="4">
                  <c:v>42</c:v>
                </c:pt>
                <c:pt idx="5">
                  <c:v>2200</c:v>
                </c:pt>
                <c:pt idx="6">
                  <c:v>5</c:v>
                </c:pt>
              </c:numCache>
            </c:numRef>
          </c:val>
        </c:ser>
        <c:ser>
          <c:idx val="1"/>
          <c:order val="1"/>
          <c:tx>
            <c:strRef>
              <c:f>Лист1!$D$60</c:f>
              <c:strCache>
                <c:ptCount val="1"/>
                <c:pt idx="0">
                  <c:v>2014/2015 навч.рік</c:v>
                </c:pt>
              </c:strCache>
            </c:strRef>
          </c:tx>
          <c:spPr>
            <a:solidFill>
              <a:schemeClr val="accent1">
                <a:lumMod val="40000"/>
                <a:lumOff val="60000"/>
              </a:schemeClr>
            </a:solidFill>
          </c:spPr>
          <c:invertIfNegative val="0"/>
          <c:dLbls>
            <c:dLbl>
              <c:idx val="0"/>
              <c:layout>
                <c:manualLayout>
                  <c:x val="5.6577094681545224E-3"/>
                  <c:y val="-3.910069630027364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
                  <c:y val="-7.820139260054728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Лист1!$B$61:$B$67</c:f>
              <c:strCache>
                <c:ptCount val="7"/>
                <c:pt idx="0">
                  <c:v>Кількість призових місць, які зайняли музичні колективи на всеукраїнських та міжнародних конкурсах, од.</c:v>
                </c:pt>
                <c:pt idx="1">
                  <c:v>Кількість музичних колективів, од </c:v>
                </c:pt>
                <c:pt idx="2">
                  <c:v>Кількість учнів художньої школи, твори яких виставлялись на всеукраїнських конкурсах, виставках та фестивалях, осіб</c:v>
                </c:pt>
                <c:pt idx="3">
                  <c:v>Кількість учнів у художній школі, осіб</c:v>
                </c:pt>
                <c:pt idx="4">
                  <c:v>Кількість учнів музичних шкіл, які зайняли призові місця у всеукраїнських та міжнародних конкурсах, осіб</c:v>
                </c:pt>
                <c:pt idx="5">
                  <c:v>Кількість учнів у музичних школах, осіб</c:v>
                </c:pt>
                <c:pt idx="6">
                  <c:v>Кількість музичних шкіл, од.</c:v>
                </c:pt>
              </c:strCache>
            </c:strRef>
          </c:cat>
          <c:val>
            <c:numRef>
              <c:f>Лист1!$D$61:$D$67</c:f>
              <c:numCache>
                <c:formatCode>General</c:formatCode>
                <c:ptCount val="7"/>
                <c:pt idx="0">
                  <c:v>66</c:v>
                </c:pt>
                <c:pt idx="1">
                  <c:v>66</c:v>
                </c:pt>
                <c:pt idx="2">
                  <c:v>25</c:v>
                </c:pt>
                <c:pt idx="3">
                  <c:v>120</c:v>
                </c:pt>
                <c:pt idx="4">
                  <c:v>71</c:v>
                </c:pt>
                <c:pt idx="5">
                  <c:v>2200</c:v>
                </c:pt>
                <c:pt idx="6">
                  <c:v>5</c:v>
                </c:pt>
              </c:numCache>
            </c:numRef>
          </c:val>
        </c:ser>
        <c:ser>
          <c:idx val="2"/>
          <c:order val="2"/>
          <c:tx>
            <c:strRef>
              <c:f>Лист1!$E$60</c:f>
              <c:strCache>
                <c:ptCount val="1"/>
                <c:pt idx="0">
                  <c:v>2015/2016 навч.рік</c:v>
                </c:pt>
              </c:strCache>
            </c:strRef>
          </c:tx>
          <c:invertIfNegative val="0"/>
          <c:dLbls>
            <c:dLbl>
              <c:idx val="1"/>
              <c:layout>
                <c:manualLayout>
                  <c:x val="0"/>
                  <c:y val="-1.221896383186705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Лист1!$B$61:$B$67</c:f>
              <c:strCache>
                <c:ptCount val="7"/>
                <c:pt idx="0">
                  <c:v>Кількість призових місць, які зайняли музичні колективи на всеукраїнських та міжнародних конкурсах, од.</c:v>
                </c:pt>
                <c:pt idx="1">
                  <c:v>Кількість музичних колективів, од </c:v>
                </c:pt>
                <c:pt idx="2">
                  <c:v>Кількість учнів художньої школи, твори яких виставлялись на всеукраїнських конкурсах, виставках та фестивалях, осіб</c:v>
                </c:pt>
                <c:pt idx="3">
                  <c:v>Кількість учнів у художній школі, осіб</c:v>
                </c:pt>
                <c:pt idx="4">
                  <c:v>Кількість учнів музичних шкіл, які зайняли призові місця у всеукраїнських та міжнародних конкурсах, осіб</c:v>
                </c:pt>
                <c:pt idx="5">
                  <c:v>Кількість учнів у музичних школах, осіб</c:v>
                </c:pt>
                <c:pt idx="6">
                  <c:v>Кількість музичних шкіл, од.</c:v>
                </c:pt>
              </c:strCache>
            </c:strRef>
          </c:cat>
          <c:val>
            <c:numRef>
              <c:f>Лист1!$E$61:$E$67</c:f>
              <c:numCache>
                <c:formatCode>General</c:formatCode>
                <c:ptCount val="7"/>
                <c:pt idx="0">
                  <c:v>84</c:v>
                </c:pt>
                <c:pt idx="1">
                  <c:v>84</c:v>
                </c:pt>
                <c:pt idx="2">
                  <c:v>25</c:v>
                </c:pt>
                <c:pt idx="3">
                  <c:v>120</c:v>
                </c:pt>
                <c:pt idx="4">
                  <c:v>125</c:v>
                </c:pt>
                <c:pt idx="5">
                  <c:v>2200</c:v>
                </c:pt>
                <c:pt idx="6">
                  <c:v>5</c:v>
                </c:pt>
              </c:numCache>
            </c:numRef>
          </c:val>
        </c:ser>
        <c:ser>
          <c:idx val="3"/>
          <c:order val="3"/>
          <c:tx>
            <c:strRef>
              <c:f>Лист1!$F$60</c:f>
              <c:strCache>
                <c:ptCount val="1"/>
                <c:pt idx="0">
                  <c:v>2016/2017 навч.рік</c:v>
                </c:pt>
              </c:strCache>
            </c:strRef>
          </c:tx>
          <c:spPr>
            <a:solidFill>
              <a:schemeClr val="accent4">
                <a:lumMod val="40000"/>
                <a:lumOff val="60000"/>
              </a:schemeClr>
            </a:solidFill>
          </c:spPr>
          <c:invertIfNegative val="0"/>
          <c:dLbls>
            <c:dLbl>
              <c:idx val="0"/>
              <c:layout>
                <c:manualLayout>
                  <c:x val="0"/>
                  <c:y val="-7.820139260054728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7718063121030239E-3"/>
                  <c:y val="-1.173020889008222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
                  <c:y val="-1.173020889008215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Лист1!$B$61:$B$67</c:f>
              <c:strCache>
                <c:ptCount val="7"/>
                <c:pt idx="0">
                  <c:v>Кількість призових місць, які зайняли музичні колективи на всеукраїнських та міжнародних конкурсах, од.</c:v>
                </c:pt>
                <c:pt idx="1">
                  <c:v>Кількість музичних колективів, од </c:v>
                </c:pt>
                <c:pt idx="2">
                  <c:v>Кількість учнів художньої школи, твори яких виставлялись на всеукраїнських конкурсах, виставках та фестивалях, осіб</c:v>
                </c:pt>
                <c:pt idx="3">
                  <c:v>Кількість учнів у художній школі, осіб</c:v>
                </c:pt>
                <c:pt idx="4">
                  <c:v>Кількість учнів музичних шкіл, які зайняли призові місця у всеукраїнських та міжнародних конкурсах, осіб</c:v>
                </c:pt>
                <c:pt idx="5">
                  <c:v>Кількість учнів у музичних школах, осіб</c:v>
                </c:pt>
                <c:pt idx="6">
                  <c:v>Кількість музичних шкіл, од.</c:v>
                </c:pt>
              </c:strCache>
            </c:strRef>
          </c:cat>
          <c:val>
            <c:numRef>
              <c:f>Лист1!$F$61:$F$67</c:f>
              <c:numCache>
                <c:formatCode>General</c:formatCode>
                <c:ptCount val="7"/>
                <c:pt idx="0">
                  <c:v>96</c:v>
                </c:pt>
                <c:pt idx="1">
                  <c:v>96</c:v>
                </c:pt>
                <c:pt idx="2">
                  <c:v>25</c:v>
                </c:pt>
                <c:pt idx="3">
                  <c:v>120</c:v>
                </c:pt>
                <c:pt idx="4">
                  <c:v>123</c:v>
                </c:pt>
                <c:pt idx="5">
                  <c:v>2200</c:v>
                </c:pt>
                <c:pt idx="6">
                  <c:v>5</c:v>
                </c:pt>
              </c:numCache>
            </c:numRef>
          </c:val>
        </c:ser>
        <c:dLbls>
          <c:showLegendKey val="0"/>
          <c:showVal val="0"/>
          <c:showCatName val="0"/>
          <c:showSerName val="0"/>
          <c:showPercent val="0"/>
          <c:showBubbleSize val="0"/>
        </c:dLbls>
        <c:gapWidth val="150"/>
        <c:shape val="box"/>
        <c:axId val="502475952"/>
        <c:axId val="502476344"/>
        <c:axId val="0"/>
      </c:bar3DChart>
      <c:catAx>
        <c:axId val="502475952"/>
        <c:scaling>
          <c:orientation val="minMax"/>
        </c:scaling>
        <c:delete val="0"/>
        <c:axPos val="l"/>
        <c:numFmt formatCode="General" sourceLinked="0"/>
        <c:majorTickMark val="out"/>
        <c:minorTickMark val="none"/>
        <c:tickLblPos val="nextTo"/>
        <c:txPr>
          <a:bodyPr/>
          <a:lstStyle/>
          <a:p>
            <a:pPr>
              <a:defRPr sz="900">
                <a:latin typeface="Times New Roman" pitchFamily="18" charset="0"/>
                <a:cs typeface="Times New Roman" pitchFamily="18" charset="0"/>
              </a:defRPr>
            </a:pPr>
            <a:endParaRPr lang="ru-RU"/>
          </a:p>
        </c:txPr>
        <c:crossAx val="502476344"/>
        <c:crosses val="autoZero"/>
        <c:auto val="1"/>
        <c:lblAlgn val="ctr"/>
        <c:lblOffset val="100"/>
        <c:noMultiLvlLbl val="0"/>
      </c:catAx>
      <c:valAx>
        <c:axId val="502476344"/>
        <c:scaling>
          <c:orientation val="minMax"/>
        </c:scaling>
        <c:delete val="1"/>
        <c:axPos val="b"/>
        <c:numFmt formatCode="General" sourceLinked="1"/>
        <c:majorTickMark val="out"/>
        <c:minorTickMark val="none"/>
        <c:tickLblPos val="none"/>
        <c:crossAx val="502475952"/>
        <c:crosses val="autoZero"/>
        <c:crossBetween val="between"/>
      </c:valAx>
    </c:plotArea>
    <c:legend>
      <c:legendPos val="r"/>
      <c:layout>
        <c:manualLayout>
          <c:xMode val="edge"/>
          <c:yMode val="edge"/>
          <c:x val="0.7983216649881637"/>
          <c:y val="0.37243084269165294"/>
          <c:w val="0.18830045080510352"/>
          <c:h val="0.25513803687371323"/>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9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a:pPr>
            <a:r>
              <a:rPr lang="ru-RU" sz="1300">
                <a:latin typeface="Times New Roman" pitchFamily="18" charset="0"/>
                <a:cs typeface="Times New Roman" pitchFamily="18" charset="0"/>
              </a:rPr>
              <a:t>Проведені загальноміські свята, культурно-освітні та мистецькі заходи </a:t>
            </a:r>
          </a:p>
        </c:rich>
      </c:tx>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3.0555555555555582E-2"/>
          <c:y val="0.21597402597402598"/>
          <c:w val="0.6500000000000089"/>
          <c:h val="0.61978354978354966"/>
        </c:manualLayout>
      </c:layout>
      <c:bar3DChart>
        <c:barDir val="col"/>
        <c:grouping val="clustered"/>
        <c:varyColors val="0"/>
        <c:ser>
          <c:idx val="0"/>
          <c:order val="0"/>
          <c:tx>
            <c:strRef>
              <c:f>Лист1!$B$33</c:f>
              <c:strCache>
                <c:ptCount val="1"/>
                <c:pt idx="0">
                  <c:v>Кількість проведених загальноміських свят, культурно-освітніх та мистецьких заходів, од.</c:v>
                </c:pt>
              </c:strCache>
            </c:strRef>
          </c:tx>
          <c:invertIfNegative val="0"/>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Лист1!$C$32:$F$32</c:f>
              <c:strCache>
                <c:ptCount val="4"/>
                <c:pt idx="0">
                  <c:v>2014 рік</c:v>
                </c:pt>
                <c:pt idx="1">
                  <c:v>2015 рік</c:v>
                </c:pt>
                <c:pt idx="2">
                  <c:v>2016 рік</c:v>
                </c:pt>
                <c:pt idx="3">
                  <c:v>8 міс.2017 року</c:v>
                </c:pt>
              </c:strCache>
            </c:strRef>
          </c:cat>
          <c:val>
            <c:numRef>
              <c:f>Лист1!$C$33:$F$33</c:f>
              <c:numCache>
                <c:formatCode>General</c:formatCode>
                <c:ptCount val="4"/>
                <c:pt idx="0">
                  <c:v>55</c:v>
                </c:pt>
                <c:pt idx="1">
                  <c:v>56</c:v>
                </c:pt>
                <c:pt idx="2">
                  <c:v>67</c:v>
                </c:pt>
                <c:pt idx="3">
                  <c:v>45</c:v>
                </c:pt>
              </c:numCache>
            </c:numRef>
          </c:val>
        </c:ser>
        <c:ser>
          <c:idx val="1"/>
          <c:order val="1"/>
          <c:tx>
            <c:strRef>
              <c:f>Лист1!$B$34</c:f>
              <c:strCache>
                <c:ptCount val="1"/>
                <c:pt idx="0">
                  <c:v>Кількість осіб, що взяли участь в загальноміських святах, культурно-освітніх та мистецьких заходах, тис.осіб</c:v>
                </c:pt>
              </c:strCache>
            </c:strRef>
          </c:tx>
          <c:spPr>
            <a:solidFill>
              <a:srgbClr val="9BBB59"/>
            </a:solidFill>
          </c:spPr>
          <c:invertIfNegative val="0"/>
          <c:dLbls>
            <c:spPr>
              <a:noFill/>
              <a:ln>
                <a:noFill/>
              </a:ln>
              <a:effectLs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Лист1!$C$32:$F$32</c:f>
              <c:strCache>
                <c:ptCount val="4"/>
                <c:pt idx="0">
                  <c:v>2014 рік</c:v>
                </c:pt>
                <c:pt idx="1">
                  <c:v>2015 рік</c:v>
                </c:pt>
                <c:pt idx="2">
                  <c:v>2016 рік</c:v>
                </c:pt>
                <c:pt idx="3">
                  <c:v>8 міс.2017 року</c:v>
                </c:pt>
              </c:strCache>
            </c:strRef>
          </c:cat>
          <c:val>
            <c:numRef>
              <c:f>Лист1!$C$34:$F$34</c:f>
              <c:numCache>
                <c:formatCode>General</c:formatCode>
                <c:ptCount val="4"/>
                <c:pt idx="0">
                  <c:v>178.4</c:v>
                </c:pt>
                <c:pt idx="1">
                  <c:v>139.6</c:v>
                </c:pt>
                <c:pt idx="2">
                  <c:v>157.9</c:v>
                </c:pt>
                <c:pt idx="3">
                  <c:v>136.6</c:v>
                </c:pt>
              </c:numCache>
            </c:numRef>
          </c:val>
        </c:ser>
        <c:dLbls>
          <c:showLegendKey val="0"/>
          <c:showVal val="0"/>
          <c:showCatName val="0"/>
          <c:showSerName val="0"/>
          <c:showPercent val="0"/>
          <c:showBubbleSize val="0"/>
        </c:dLbls>
        <c:gapWidth val="150"/>
        <c:shape val="box"/>
        <c:axId val="502479480"/>
        <c:axId val="502479872"/>
        <c:axId val="0"/>
      </c:bar3DChart>
      <c:catAx>
        <c:axId val="502479480"/>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502479872"/>
        <c:crosses val="autoZero"/>
        <c:auto val="1"/>
        <c:lblAlgn val="ctr"/>
        <c:lblOffset val="100"/>
        <c:noMultiLvlLbl val="0"/>
      </c:catAx>
      <c:valAx>
        <c:axId val="502479872"/>
        <c:scaling>
          <c:orientation val="minMax"/>
        </c:scaling>
        <c:delete val="1"/>
        <c:axPos val="l"/>
        <c:numFmt formatCode="General" sourceLinked="1"/>
        <c:majorTickMark val="out"/>
        <c:minorTickMark val="none"/>
        <c:tickLblPos val="none"/>
        <c:crossAx val="502479480"/>
        <c:crosses val="autoZero"/>
        <c:crossBetween val="between"/>
      </c:valAx>
    </c:plotArea>
    <c:legend>
      <c:legendPos val="r"/>
      <c:layout>
        <c:manualLayout>
          <c:xMode val="edge"/>
          <c:yMode val="edge"/>
          <c:x val="0.65111811023622068"/>
          <c:y val="0.25768482064741932"/>
          <c:w val="0.33221522309711288"/>
          <c:h val="0.5952318460192475"/>
        </c:manualLayout>
      </c:layout>
      <c:overlay val="0"/>
      <c:txPr>
        <a:bodyPr/>
        <a:lstStyle/>
        <a:p>
          <a:pPr>
            <a:defRPr b="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9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50">
                <a:latin typeface="Times New Roman" pitchFamily="18" charset="0"/>
                <a:cs typeface="Times New Roman" pitchFamily="18" charset="0"/>
              </a:defRPr>
            </a:pPr>
            <a:r>
              <a:rPr lang="uk-UA" sz="1050">
                <a:latin typeface="Times New Roman" pitchFamily="18" charset="0"/>
                <a:cs typeface="Times New Roman" pitchFamily="18" charset="0"/>
              </a:rPr>
              <a:t>Кількість</a:t>
            </a:r>
            <a:r>
              <a:rPr lang="uk-UA" sz="1050" baseline="0">
                <a:latin typeface="Times New Roman" pitchFamily="18" charset="0"/>
                <a:cs typeface="Times New Roman" pitchFamily="18" charset="0"/>
              </a:rPr>
              <a:t> сімей, які перебувають у складних життєвих обставинах та перебувають на обліку у Центрі, од.</a:t>
            </a:r>
            <a:endParaRPr lang="uk-UA" sz="1050">
              <a:latin typeface="Times New Roman" pitchFamily="18" charset="0"/>
              <a:cs typeface="Times New Roman" pitchFamily="18" charset="0"/>
            </a:endParaRPr>
          </a:p>
        </c:rich>
      </c:tx>
      <c:layout>
        <c:manualLayout>
          <c:xMode val="edge"/>
          <c:yMode val="edge"/>
          <c:x val="0.1546666666666667"/>
          <c:y val="0"/>
        </c:manualLayout>
      </c:layout>
      <c:overlay val="0"/>
    </c:title>
    <c:autoTitleDeleted val="0"/>
    <c:plotArea>
      <c:layout>
        <c:manualLayout>
          <c:layoutTarget val="inner"/>
          <c:xMode val="edge"/>
          <c:yMode val="edge"/>
          <c:x val="2.7614404817044951E-2"/>
          <c:y val="9.3098348855978896E-2"/>
          <c:w val="0.93888888888889466"/>
          <c:h val="0.56813793705149762"/>
        </c:manualLayout>
      </c:layout>
      <c:barChart>
        <c:barDir val="col"/>
        <c:grouping val="clustered"/>
        <c:varyColors val="0"/>
        <c:ser>
          <c:idx val="0"/>
          <c:order val="0"/>
          <c:tx>
            <c:strRef>
              <c:f>Лист1!$A$6</c:f>
              <c:strCache>
                <c:ptCount val="1"/>
                <c:pt idx="0">
                  <c:v>Кількість сімей, які перебувають у складних життєвих обставинах</c:v>
                </c:pt>
              </c:strCache>
            </c:strRef>
          </c:tx>
          <c:invertIfNegative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Лист1!$B$5:$E$5</c:f>
              <c:strCache>
                <c:ptCount val="4"/>
                <c:pt idx="0">
                  <c:v>2014 рік</c:v>
                </c:pt>
                <c:pt idx="1">
                  <c:v>2015 рік</c:v>
                </c:pt>
                <c:pt idx="2">
                  <c:v>2016 рік</c:v>
                </c:pt>
                <c:pt idx="3">
                  <c:v>9 міс. 2017 року</c:v>
                </c:pt>
              </c:strCache>
            </c:strRef>
          </c:cat>
          <c:val>
            <c:numRef>
              <c:f>Лист1!$B$6:$E$6</c:f>
              <c:numCache>
                <c:formatCode>General</c:formatCode>
                <c:ptCount val="4"/>
                <c:pt idx="0">
                  <c:v>14884</c:v>
                </c:pt>
                <c:pt idx="1">
                  <c:v>12040</c:v>
                </c:pt>
                <c:pt idx="2">
                  <c:v>13193</c:v>
                </c:pt>
                <c:pt idx="3">
                  <c:v>8930</c:v>
                </c:pt>
              </c:numCache>
            </c:numRef>
          </c:val>
        </c:ser>
        <c:ser>
          <c:idx val="1"/>
          <c:order val="1"/>
          <c:tx>
            <c:strRef>
              <c:f>Лист1!$A$7</c:f>
              <c:strCache>
                <c:ptCount val="1"/>
                <c:pt idx="0">
                  <c:v>Кількість сімей, які перебувають на обліку у Центрі</c:v>
                </c:pt>
              </c:strCache>
            </c:strRef>
          </c:tx>
          <c:spPr>
            <a:solidFill>
              <a:schemeClr val="accent3">
                <a:lumMod val="75000"/>
              </a:schemeClr>
            </a:solidFill>
          </c:spPr>
          <c:invertIfNegative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Лист1!$B$5:$E$5</c:f>
              <c:strCache>
                <c:ptCount val="4"/>
                <c:pt idx="0">
                  <c:v>2014 рік</c:v>
                </c:pt>
                <c:pt idx="1">
                  <c:v>2015 рік</c:v>
                </c:pt>
                <c:pt idx="2">
                  <c:v>2016 рік</c:v>
                </c:pt>
                <c:pt idx="3">
                  <c:v>9 міс. 2017 року</c:v>
                </c:pt>
              </c:strCache>
            </c:strRef>
          </c:cat>
          <c:val>
            <c:numRef>
              <c:f>Лист1!$B$7:$E$7</c:f>
              <c:numCache>
                <c:formatCode>General</c:formatCode>
                <c:ptCount val="4"/>
                <c:pt idx="0">
                  <c:v>1093</c:v>
                </c:pt>
                <c:pt idx="1">
                  <c:v>815</c:v>
                </c:pt>
                <c:pt idx="2">
                  <c:v>533</c:v>
                </c:pt>
                <c:pt idx="3">
                  <c:v>845</c:v>
                </c:pt>
              </c:numCache>
            </c:numRef>
          </c:val>
        </c:ser>
        <c:dLbls>
          <c:showLegendKey val="0"/>
          <c:showVal val="0"/>
          <c:showCatName val="0"/>
          <c:showSerName val="0"/>
          <c:showPercent val="0"/>
          <c:showBubbleSize val="0"/>
        </c:dLbls>
        <c:gapWidth val="75"/>
        <c:overlap val="-25"/>
        <c:axId val="502481440"/>
        <c:axId val="502481832"/>
      </c:barChart>
      <c:catAx>
        <c:axId val="502481440"/>
        <c:scaling>
          <c:orientation val="minMax"/>
        </c:scaling>
        <c:delete val="0"/>
        <c:axPos val="b"/>
        <c:numFmt formatCode="General" sourceLinked="0"/>
        <c:majorTickMark val="none"/>
        <c:minorTickMark val="none"/>
        <c:tickLblPos val="nextTo"/>
        <c:txPr>
          <a:bodyPr/>
          <a:lstStyle/>
          <a:p>
            <a:pPr>
              <a:defRPr b="1">
                <a:latin typeface="Times New Roman" pitchFamily="18" charset="0"/>
                <a:cs typeface="Times New Roman" pitchFamily="18" charset="0"/>
              </a:defRPr>
            </a:pPr>
            <a:endParaRPr lang="ru-RU"/>
          </a:p>
        </c:txPr>
        <c:crossAx val="502481832"/>
        <c:crosses val="autoZero"/>
        <c:auto val="1"/>
        <c:lblAlgn val="ctr"/>
        <c:lblOffset val="100"/>
        <c:noMultiLvlLbl val="0"/>
      </c:catAx>
      <c:valAx>
        <c:axId val="502481832"/>
        <c:scaling>
          <c:orientation val="minMax"/>
        </c:scaling>
        <c:delete val="1"/>
        <c:axPos val="l"/>
        <c:numFmt formatCode="General" sourceLinked="1"/>
        <c:majorTickMark val="none"/>
        <c:minorTickMark val="none"/>
        <c:tickLblPos val="none"/>
        <c:crossAx val="502481440"/>
        <c:crosses val="autoZero"/>
        <c:crossBetween val="between"/>
      </c:valAx>
      <c:spPr>
        <a:noFill/>
        <a:ln w="25400">
          <a:noFill/>
        </a:ln>
      </c:spPr>
    </c:plotArea>
    <c:legend>
      <c:legendPos val="b"/>
      <c:layout>
        <c:manualLayout>
          <c:xMode val="edge"/>
          <c:yMode val="edge"/>
          <c:x val="6.5415470125057912E-2"/>
          <c:y val="0.76478228682953164"/>
          <c:w val="0.86328670680870778"/>
          <c:h val="0.23521771317047169"/>
        </c:manualLayout>
      </c:layout>
      <c:overlay val="0"/>
      <c:txPr>
        <a:bodyPr/>
        <a:lstStyle/>
        <a:p>
          <a:pPr>
            <a:defRPr sz="900">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9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itchFamily="18" charset="0"/>
                <a:cs typeface="Times New Roman" pitchFamily="18" charset="0"/>
              </a:defRPr>
            </a:pPr>
            <a:r>
              <a:rPr lang="uk-UA" sz="1100">
                <a:latin typeface="Times New Roman" pitchFamily="18" charset="0"/>
                <a:cs typeface="Times New Roman" pitchFamily="18" charset="0"/>
              </a:rPr>
              <a:t>Кількість соціальних послуг, що надані сім'ям, які перебувають у складних життєвих обставинах, од.</a:t>
            </a:r>
          </a:p>
        </c:rich>
      </c:tx>
      <c:overlay val="0"/>
    </c:title>
    <c:autoTitleDeleted val="0"/>
    <c:plotArea>
      <c:layout/>
      <c:lineChart>
        <c:grouping val="standard"/>
        <c:varyColors val="0"/>
        <c:ser>
          <c:idx val="0"/>
          <c:order val="0"/>
          <c:tx>
            <c:strRef>
              <c:f>Лист1!$A$25</c:f>
              <c:strCache>
                <c:ptCount val="1"/>
                <c:pt idx="0">
                  <c:v>Кількість соціальних послуг, що надані сім'ям, які перебувають у складних життєвих обставинах</c:v>
                </c:pt>
              </c:strCache>
            </c:strRef>
          </c:tx>
          <c:dLbls>
            <c:dLbl>
              <c:idx val="0"/>
              <c:layout>
                <c:manualLayout>
                  <c:x val="-5.1724137931034489E-2"/>
                  <c:y val="-8.955223880597015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5977011494252866E-2"/>
                  <c:y val="7.7611940298507459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4597701149425359E-2"/>
                  <c:y val="-6.5671641791044774E-2"/>
                </c:manualLayout>
              </c:layout>
              <c:showLegendKey val="0"/>
              <c:showVal val="1"/>
              <c:showCatName val="0"/>
              <c:showSerName val="0"/>
              <c:showPercent val="0"/>
              <c:showBubbleSize val="0"/>
              <c:extLst>
                <c:ext xmlns:c15="http://schemas.microsoft.com/office/drawing/2012/chart" uri="{CE6537A1-D6FC-4f65-9D91-7224C49458BB}"/>
              </c:extLst>
            </c:dLbl>
            <c:spPr>
              <a:ln cap="rnd">
                <a:bevel/>
              </a:ln>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Лист1!$B$24:$E$24</c:f>
              <c:strCache>
                <c:ptCount val="4"/>
                <c:pt idx="0">
                  <c:v>2014 рік</c:v>
                </c:pt>
                <c:pt idx="1">
                  <c:v>2015 рік</c:v>
                </c:pt>
                <c:pt idx="2">
                  <c:v>2016 рік</c:v>
                </c:pt>
                <c:pt idx="3">
                  <c:v>9 міс. 2017 року</c:v>
                </c:pt>
              </c:strCache>
            </c:strRef>
          </c:cat>
          <c:val>
            <c:numRef>
              <c:f>Лист1!$B$25:$E$25</c:f>
              <c:numCache>
                <c:formatCode>General</c:formatCode>
                <c:ptCount val="4"/>
                <c:pt idx="0">
                  <c:v>34659</c:v>
                </c:pt>
                <c:pt idx="1">
                  <c:v>30948</c:v>
                </c:pt>
                <c:pt idx="2">
                  <c:v>48972</c:v>
                </c:pt>
                <c:pt idx="3">
                  <c:v>29020</c:v>
                </c:pt>
              </c:numCache>
            </c:numRef>
          </c:val>
          <c:smooth val="0"/>
        </c:ser>
        <c:dLbls>
          <c:showLegendKey val="0"/>
          <c:showVal val="0"/>
          <c:showCatName val="0"/>
          <c:showSerName val="0"/>
          <c:showPercent val="0"/>
          <c:showBubbleSize val="0"/>
        </c:dLbls>
        <c:marker val="1"/>
        <c:smooth val="0"/>
        <c:axId val="502492416"/>
        <c:axId val="502487712"/>
      </c:lineChart>
      <c:catAx>
        <c:axId val="502492416"/>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502487712"/>
        <c:crosses val="autoZero"/>
        <c:auto val="1"/>
        <c:lblAlgn val="ctr"/>
        <c:lblOffset val="100"/>
        <c:noMultiLvlLbl val="0"/>
      </c:catAx>
      <c:valAx>
        <c:axId val="502487712"/>
        <c:scaling>
          <c:orientation val="minMax"/>
        </c:scaling>
        <c:delete val="1"/>
        <c:axPos val="l"/>
        <c:numFmt formatCode="General" sourceLinked="1"/>
        <c:majorTickMark val="out"/>
        <c:minorTickMark val="none"/>
        <c:tickLblPos val="none"/>
        <c:crossAx val="502492416"/>
        <c:crosses val="autoZero"/>
        <c:crossBetween val="between"/>
      </c:valAx>
    </c:plotArea>
    <c:plotVisOnly val="1"/>
    <c:dispBlanksAs val="zero"/>
    <c:showDLblsOverMax val="0"/>
  </c:chart>
  <c:spPr>
    <a:ln>
      <a:noFill/>
    </a:ln>
  </c:spPr>
  <c:externalData r:id="rId2">
    <c:autoUpdate val="0"/>
  </c:externalData>
</c:chartSpace>
</file>

<file path=word/charts/chart9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50"/>
            </a:pPr>
            <a:r>
              <a:rPr lang="uk-UA" sz="1050">
                <a:latin typeface="Times New Roman" pitchFamily="18" charset="0"/>
                <a:cs typeface="Times New Roman" pitchFamily="18" charset="0"/>
              </a:rPr>
              <a:t>Кількість</a:t>
            </a:r>
            <a:r>
              <a:rPr lang="uk-UA" sz="1050" baseline="0">
                <a:latin typeface="Times New Roman" pitchFamily="18" charset="0"/>
                <a:cs typeface="Times New Roman" pitchFamily="18" charset="0"/>
              </a:rPr>
              <a:t>  сімей, які охоплені соціальним супроводом Центру та знято із соціального супроводу з позитивним результатом, од.</a:t>
            </a:r>
            <a:endParaRPr lang="uk-UA" sz="1050">
              <a:latin typeface="Times New Roman" pitchFamily="18" charset="0"/>
              <a:cs typeface="Times New Roman" pitchFamily="18" charset="0"/>
            </a:endParaRPr>
          </a:p>
        </c:rich>
      </c:tx>
      <c:overlay val="0"/>
    </c:title>
    <c:autoTitleDeleted val="0"/>
    <c:plotArea>
      <c:layout>
        <c:manualLayout>
          <c:layoutTarget val="inner"/>
          <c:xMode val="edge"/>
          <c:yMode val="edge"/>
          <c:x val="3.0555555555555582E-2"/>
          <c:y val="0.1367753843737114"/>
          <c:w val="0.93888888888889466"/>
          <c:h val="0.50818387103108376"/>
        </c:manualLayout>
      </c:layout>
      <c:barChart>
        <c:barDir val="col"/>
        <c:grouping val="clustered"/>
        <c:varyColors val="0"/>
        <c:ser>
          <c:idx val="0"/>
          <c:order val="0"/>
          <c:tx>
            <c:strRef>
              <c:f>Лист1!$A$16</c:f>
              <c:strCache>
                <c:ptCount val="1"/>
                <c:pt idx="0">
                  <c:v>Кількість сімей, які охоплені соціальним супроводом Центру</c:v>
                </c:pt>
              </c:strCache>
            </c:strRef>
          </c:tx>
          <c:invertIfNegative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Лист1!$B$15:$E$15</c:f>
              <c:strCache>
                <c:ptCount val="4"/>
                <c:pt idx="0">
                  <c:v>2014 рік</c:v>
                </c:pt>
                <c:pt idx="1">
                  <c:v>2015 рік</c:v>
                </c:pt>
                <c:pt idx="2">
                  <c:v>2016 рік</c:v>
                </c:pt>
                <c:pt idx="3">
                  <c:v>9 міс. 2017 року</c:v>
                </c:pt>
              </c:strCache>
            </c:strRef>
          </c:cat>
          <c:val>
            <c:numRef>
              <c:f>Лист1!$B$16:$E$16</c:f>
              <c:numCache>
                <c:formatCode>General</c:formatCode>
                <c:ptCount val="4"/>
                <c:pt idx="0">
                  <c:v>241</c:v>
                </c:pt>
                <c:pt idx="1">
                  <c:v>131</c:v>
                </c:pt>
                <c:pt idx="2">
                  <c:v>139</c:v>
                </c:pt>
                <c:pt idx="3">
                  <c:v>118</c:v>
                </c:pt>
              </c:numCache>
            </c:numRef>
          </c:val>
        </c:ser>
        <c:ser>
          <c:idx val="1"/>
          <c:order val="1"/>
          <c:tx>
            <c:strRef>
              <c:f>Лист1!$A$17</c:f>
              <c:strCache>
                <c:ptCount val="1"/>
                <c:pt idx="0">
                  <c:v>Кількість сімей, які знято із соціального супроводу з позитивним результатом</c:v>
                </c:pt>
              </c:strCache>
            </c:strRef>
          </c:tx>
          <c:spPr>
            <a:solidFill>
              <a:schemeClr val="accent3">
                <a:lumMod val="75000"/>
              </a:schemeClr>
            </a:solidFill>
          </c:spPr>
          <c:invertIfNegative val="0"/>
          <c:dLbls>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Лист1!$B$15:$E$15</c:f>
              <c:strCache>
                <c:ptCount val="4"/>
                <c:pt idx="0">
                  <c:v>2014 рік</c:v>
                </c:pt>
                <c:pt idx="1">
                  <c:v>2015 рік</c:v>
                </c:pt>
                <c:pt idx="2">
                  <c:v>2016 рік</c:v>
                </c:pt>
                <c:pt idx="3">
                  <c:v>9 міс. 2017 року</c:v>
                </c:pt>
              </c:strCache>
            </c:strRef>
          </c:cat>
          <c:val>
            <c:numRef>
              <c:f>Лист1!$B$17:$E$17</c:f>
              <c:numCache>
                <c:formatCode>General</c:formatCode>
                <c:ptCount val="4"/>
                <c:pt idx="0">
                  <c:v>200</c:v>
                </c:pt>
                <c:pt idx="1">
                  <c:v>76</c:v>
                </c:pt>
                <c:pt idx="2">
                  <c:v>84</c:v>
                </c:pt>
                <c:pt idx="3">
                  <c:v>69</c:v>
                </c:pt>
              </c:numCache>
            </c:numRef>
          </c:val>
        </c:ser>
        <c:dLbls>
          <c:showLegendKey val="0"/>
          <c:showVal val="0"/>
          <c:showCatName val="0"/>
          <c:showSerName val="0"/>
          <c:showPercent val="0"/>
          <c:showBubbleSize val="0"/>
        </c:dLbls>
        <c:gapWidth val="75"/>
        <c:overlap val="-25"/>
        <c:axId val="502494768"/>
        <c:axId val="502492808"/>
      </c:barChart>
      <c:catAx>
        <c:axId val="502494768"/>
        <c:scaling>
          <c:orientation val="minMax"/>
        </c:scaling>
        <c:delete val="0"/>
        <c:axPos val="b"/>
        <c:numFmt formatCode="General" sourceLinked="0"/>
        <c:majorTickMark val="none"/>
        <c:minorTickMark val="none"/>
        <c:tickLblPos val="nextTo"/>
        <c:txPr>
          <a:bodyPr/>
          <a:lstStyle/>
          <a:p>
            <a:pPr>
              <a:defRPr b="1">
                <a:latin typeface="Times New Roman" pitchFamily="18" charset="0"/>
                <a:cs typeface="Times New Roman" pitchFamily="18" charset="0"/>
              </a:defRPr>
            </a:pPr>
            <a:endParaRPr lang="ru-RU"/>
          </a:p>
        </c:txPr>
        <c:crossAx val="502492808"/>
        <c:crosses val="autoZero"/>
        <c:auto val="1"/>
        <c:lblAlgn val="ctr"/>
        <c:lblOffset val="100"/>
        <c:noMultiLvlLbl val="0"/>
      </c:catAx>
      <c:valAx>
        <c:axId val="502492808"/>
        <c:scaling>
          <c:orientation val="minMax"/>
        </c:scaling>
        <c:delete val="1"/>
        <c:axPos val="l"/>
        <c:numFmt formatCode="General" sourceLinked="1"/>
        <c:majorTickMark val="none"/>
        <c:minorTickMark val="none"/>
        <c:tickLblPos val="none"/>
        <c:crossAx val="502494768"/>
        <c:crosses val="autoZero"/>
        <c:crossBetween val="between"/>
      </c:valAx>
      <c:spPr>
        <a:noFill/>
        <a:ln w="25400">
          <a:noFill/>
        </a:ln>
      </c:spPr>
    </c:plotArea>
    <c:legend>
      <c:legendPos val="b"/>
      <c:layout>
        <c:manualLayout>
          <c:xMode val="edge"/>
          <c:yMode val="edge"/>
          <c:x val="0.11127143482064741"/>
          <c:y val="0.74190398075240549"/>
          <c:w val="0.79412357830271219"/>
          <c:h val="0.2463545859760049"/>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82F2740-CB11-469E-985C-C004163D50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2565</TotalTime>
  <Pages>51</Pages>
  <Words>6281</Words>
  <Characters>35805</Characters>
  <Application>Microsoft Office Word</Application>
  <DocSecurity>0</DocSecurity>
  <Lines>298</Lines>
  <Paragraphs>84</Paragraphs>
  <ScaleCrop>false</ScaleCrop>
  <HeadingPairs>
    <vt:vector size="2" baseType="variant">
      <vt:variant>
        <vt:lpstr>Название</vt:lpstr>
      </vt:variant>
      <vt:variant>
        <vt:i4>1</vt:i4>
      </vt:variant>
    </vt:vector>
  </HeadingPairs>
  <TitlesOfParts>
    <vt:vector size="1" baseType="lpstr">
      <vt:lpstr>Продовження додатку</vt:lpstr>
    </vt:vector>
  </TitlesOfParts>
  <Company>Microsoft</Company>
  <LinksUpToDate>false</LinksUpToDate>
  <CharactersWithSpaces>42002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Продовження додатку</dc:title>
  <dc:subject/>
  <dc:creator>User</dc:creator>
  <cp:keywords/>
  <dc:description/>
  <cp:lastModifiedBy>User</cp:lastModifiedBy>
  <cp:revision>285</cp:revision>
  <cp:lastPrinted>2017-12-14T09:13:00Z</cp:lastPrinted>
  <dcterms:created xsi:type="dcterms:W3CDTF">2017-10-05T13:57:00Z</dcterms:created>
  <dcterms:modified xsi:type="dcterms:W3CDTF">2017-12-14T10:44:00Z</dcterms:modified>
</cp:coreProperties>
</file>